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6F6F" w14:textId="77777777" w:rsidR="00C44701" w:rsidRPr="00AC517E" w:rsidRDefault="00C44701" w:rsidP="00EE6A9F">
      <w:pPr>
        <w:pStyle w:val="Heading1"/>
        <w:spacing w:before="80" w:after="120"/>
        <w:jc w:val="center"/>
        <w:rPr>
          <w:rFonts w:ascii="Aptos" w:eastAsia="Roboto" w:hAnsi="Aptos"/>
          <w:b/>
          <w:bCs/>
          <w:color w:val="000000" w:themeColor="text1"/>
          <w:sz w:val="28"/>
          <w:szCs w:val="28"/>
        </w:rPr>
      </w:pPr>
      <w:r w:rsidRPr="00AC517E">
        <w:rPr>
          <w:rFonts w:ascii="Aptos" w:eastAsia="Roboto" w:hAnsi="Aptos"/>
          <w:b/>
          <w:bCs/>
          <w:color w:val="000000" w:themeColor="text1"/>
          <w:sz w:val="28"/>
          <w:szCs w:val="28"/>
        </w:rPr>
        <w:t>Piecing Together Systematic Reviews. Phase 3: Production</w:t>
      </w:r>
    </w:p>
    <w:p w14:paraId="63336EA3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Cochrane standards</w:t>
      </w:r>
    </w:p>
    <w:p w14:paraId="47284E96" w14:textId="7D7FB811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8" w:history="1">
        <w:r w:rsidR="00C44701" w:rsidRPr="00277AA6">
          <w:rPr>
            <w:rStyle w:val="Hyperlink"/>
            <w:rFonts w:ascii="Aptos" w:eastAsia="Roboto" w:hAnsi="Aptos" w:cs="Roboto"/>
          </w:rPr>
          <w:t>Cochrane Handbook</w:t>
        </w:r>
      </w:hyperlink>
    </w:p>
    <w:p w14:paraId="705BB57E" w14:textId="7A9DA533" w:rsidR="00C44701" w:rsidRPr="00277AA6" w:rsidRDefault="00000000" w:rsidP="00BB4038">
      <w:pPr>
        <w:spacing w:line="240" w:lineRule="auto"/>
        <w:rPr>
          <w:rFonts w:ascii="Aptos" w:eastAsia="Roboto" w:hAnsi="Aptos" w:cs="Roboto"/>
          <w:color w:val="000000" w:themeColor="text1"/>
        </w:rPr>
      </w:pPr>
      <w:hyperlink r:id="rId9" w:history="1">
        <w:r w:rsidR="00C44701" w:rsidRPr="00277AA6">
          <w:rPr>
            <w:rStyle w:val="Hyperlink"/>
            <w:rFonts w:ascii="Aptos" w:eastAsia="Roboto" w:hAnsi="Aptos" w:cs="Roboto"/>
          </w:rPr>
          <w:t>Cochrane MECIR</w:t>
        </w:r>
      </w:hyperlink>
      <w:r w:rsidR="00C44701" w:rsidRPr="00277AA6">
        <w:rPr>
          <w:rFonts w:ascii="Aptos" w:eastAsia="Roboto" w:hAnsi="Aptos" w:cs="Roboto"/>
          <w:color w:val="212121"/>
        </w:rPr>
        <w:t xml:space="preserve"> </w:t>
      </w:r>
      <w:r w:rsidR="00590878" w:rsidRPr="00277AA6">
        <w:rPr>
          <w:rFonts w:ascii="Aptos" w:eastAsia="Roboto" w:hAnsi="Aptos" w:cs="Roboto"/>
          <w:color w:val="000000" w:themeColor="text1"/>
        </w:rPr>
        <w:t>(Methodological Expectations of Cochrane Intervention Reviews)</w:t>
      </w:r>
    </w:p>
    <w:p w14:paraId="094E9D49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Search filters</w:t>
      </w:r>
    </w:p>
    <w:p w14:paraId="27F4AC66" w14:textId="45F7623D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0" w:history="1">
        <w:r w:rsidR="00C44701" w:rsidRPr="00277AA6">
          <w:rPr>
            <w:rStyle w:val="Hyperlink"/>
            <w:rFonts w:ascii="Aptos" w:eastAsia="Roboto" w:hAnsi="Aptos" w:cs="Roboto"/>
          </w:rPr>
          <w:t>ISSG Search filters site</w:t>
        </w:r>
      </w:hyperlink>
      <w:r w:rsidR="00C44701" w:rsidRPr="00277AA6">
        <w:rPr>
          <w:rFonts w:ascii="Aptos" w:eastAsia="Roboto" w:hAnsi="Aptos" w:cs="Roboto"/>
          <w:color w:val="212121"/>
        </w:rPr>
        <w:t xml:space="preserve"> </w:t>
      </w:r>
    </w:p>
    <w:p w14:paraId="70868557" w14:textId="23C30AB7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1" w:history="1">
        <w:r w:rsidR="00C44701" w:rsidRPr="00277AA6">
          <w:rPr>
            <w:rStyle w:val="Hyperlink"/>
            <w:rFonts w:ascii="Aptos" w:eastAsia="Roboto" w:hAnsi="Aptos" w:cs="Roboto"/>
          </w:rPr>
          <w:t>Canadian Agency for Drugs and Technologies in Health (CADTH)</w:t>
        </w:r>
      </w:hyperlink>
      <w:r w:rsidR="00590878" w:rsidRPr="00277AA6">
        <w:rPr>
          <w:rFonts w:ascii="Aptos" w:eastAsia="Roboto" w:hAnsi="Aptos" w:cs="Roboto"/>
        </w:rPr>
        <w:t xml:space="preserve"> </w:t>
      </w:r>
    </w:p>
    <w:p w14:paraId="73B654F6" w14:textId="24F47EA5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2" w:history="1">
        <w:r w:rsidR="00C44701" w:rsidRPr="00277AA6">
          <w:rPr>
            <w:rStyle w:val="Hyperlink"/>
            <w:rFonts w:ascii="Aptos" w:eastAsia="Roboto" w:hAnsi="Aptos" w:cs="Roboto"/>
          </w:rPr>
          <w:t>BMJ Search filters</w:t>
        </w:r>
      </w:hyperlink>
    </w:p>
    <w:p w14:paraId="34E65309" w14:textId="45B1A891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3" w:anchor="section-4-4-7" w:history="1">
        <w:r w:rsidR="00C44701" w:rsidRPr="00277AA6">
          <w:rPr>
            <w:rStyle w:val="Hyperlink"/>
            <w:rFonts w:ascii="Aptos" w:eastAsia="Roboto" w:hAnsi="Aptos" w:cs="Roboto"/>
          </w:rPr>
          <w:t>Cochrane search filters</w:t>
        </w:r>
      </w:hyperlink>
    </w:p>
    <w:p w14:paraId="030C48E1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Polyglot search translator</w:t>
      </w:r>
    </w:p>
    <w:p w14:paraId="2F97771B" w14:textId="461744DC" w:rsidR="00231B5D" w:rsidRPr="00277AA6" w:rsidRDefault="00000000" w:rsidP="00231B5D">
      <w:pPr>
        <w:rPr>
          <w:rFonts w:ascii="Aptos" w:hAnsi="Aptos"/>
        </w:rPr>
      </w:pPr>
      <w:hyperlink r:id="rId14" w:anchor="/polyglot" w:history="1">
        <w:r w:rsidR="00231B5D" w:rsidRPr="00277AA6">
          <w:rPr>
            <w:rStyle w:val="Hyperlink"/>
            <w:rFonts w:ascii="Aptos" w:hAnsi="Aptos"/>
          </w:rPr>
          <w:t xml:space="preserve">Systematic Review </w:t>
        </w:r>
        <w:r w:rsidR="003211A6" w:rsidRPr="00277AA6">
          <w:rPr>
            <w:rStyle w:val="Hyperlink"/>
            <w:rFonts w:ascii="Aptos" w:hAnsi="Aptos"/>
          </w:rPr>
          <w:t>Accelerator</w:t>
        </w:r>
      </w:hyperlink>
    </w:p>
    <w:p w14:paraId="0CAED603" w14:textId="33C3BE3E" w:rsidR="00C44701" w:rsidRPr="00277AA6" w:rsidRDefault="00000000" w:rsidP="00C80945">
      <w:pPr>
        <w:spacing w:line="240" w:lineRule="auto"/>
        <w:rPr>
          <w:rFonts w:ascii="Aptos" w:eastAsia="Roboto" w:hAnsi="Aptos" w:cs="Roboto"/>
          <w:color w:val="212121"/>
        </w:rPr>
      </w:pPr>
      <w:hyperlink r:id="rId15" w:history="1">
        <w:r w:rsidR="00C44701" w:rsidRPr="00277AA6">
          <w:rPr>
            <w:rStyle w:val="Hyperlink"/>
            <w:rFonts w:ascii="Aptos" w:eastAsia="Roboto" w:hAnsi="Aptos" w:cs="Roboto"/>
          </w:rPr>
          <w:t>Polyglot Search Translator</w:t>
        </w:r>
      </w:hyperlink>
    </w:p>
    <w:p w14:paraId="2A54E682" w14:textId="07D06773" w:rsidR="00C44701" w:rsidRPr="00277AA6" w:rsidRDefault="003211A6" w:rsidP="00277AA6">
      <w:pPr>
        <w:rPr>
          <w:rFonts w:ascii="Aptos" w:hAnsi="Aptos"/>
        </w:rPr>
      </w:pPr>
      <w:hyperlink r:id="rId16" w:history="1">
        <w:r w:rsidR="00C44701" w:rsidRPr="00277AA6">
          <w:rPr>
            <w:rStyle w:val="Hyperlink"/>
            <w:rFonts w:ascii="Aptos" w:eastAsia="Roboto" w:hAnsi="Aptos"/>
          </w:rPr>
          <w:t>Smart Search</w:t>
        </w:r>
      </w:hyperlink>
    </w:p>
    <w:p w14:paraId="41C803A7" w14:textId="1B2773B4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SRA De-duplicator</w:t>
      </w:r>
    </w:p>
    <w:p w14:paraId="3140F1AA" w14:textId="538E77B0" w:rsidR="00C44701" w:rsidRPr="00277AA6" w:rsidRDefault="00000000" w:rsidP="00C44701">
      <w:pPr>
        <w:spacing w:line="240" w:lineRule="auto"/>
        <w:rPr>
          <w:rFonts w:ascii="Aptos" w:eastAsia="Roboto" w:hAnsi="Aptos" w:cs="Roboto"/>
        </w:rPr>
      </w:pPr>
      <w:hyperlink r:id="rId17" w:anchor="/deduplicator">
        <w:r w:rsidR="00C44701" w:rsidRPr="00277AA6">
          <w:rPr>
            <w:rStyle w:val="Hyperlink"/>
            <w:rFonts w:ascii="Aptos" w:eastAsia="Roboto" w:hAnsi="Aptos" w:cs="Roboto"/>
          </w:rPr>
          <w:t>SR-Accelerator</w:t>
        </w:r>
      </w:hyperlink>
    </w:p>
    <w:p w14:paraId="2383D1FD" w14:textId="51D9424D" w:rsidR="00C44701" w:rsidRPr="00277AA6" w:rsidRDefault="00000000" w:rsidP="004845E0">
      <w:pPr>
        <w:spacing w:line="240" w:lineRule="auto"/>
        <w:rPr>
          <w:rFonts w:ascii="Aptos" w:eastAsia="Segoe UI" w:hAnsi="Aptos" w:cs="Segoe UI"/>
          <w:color w:val="212121"/>
        </w:rPr>
      </w:pPr>
      <w:hyperlink r:id="rId18" w:history="1">
        <w:r w:rsidR="00C44701" w:rsidRPr="00277AA6">
          <w:rPr>
            <w:rStyle w:val="Hyperlink"/>
            <w:rFonts w:ascii="Aptos" w:eastAsia="Segoe UI" w:hAnsi="Aptos" w:cs="Segoe UI"/>
          </w:rPr>
          <w:t xml:space="preserve">Automation of duplicate record detection for systematic reviews: </w:t>
        </w:r>
        <w:proofErr w:type="spellStart"/>
        <w:r w:rsidR="00C44701" w:rsidRPr="00277AA6">
          <w:rPr>
            <w:rStyle w:val="Hyperlink"/>
            <w:rFonts w:ascii="Aptos" w:eastAsia="Segoe UI" w:hAnsi="Aptos" w:cs="Segoe UI"/>
          </w:rPr>
          <w:t>Deduplicator</w:t>
        </w:r>
        <w:proofErr w:type="spellEnd"/>
      </w:hyperlink>
      <w:r w:rsidR="00C44701" w:rsidRPr="00277AA6">
        <w:rPr>
          <w:rFonts w:ascii="Aptos" w:eastAsia="Segoe UI" w:hAnsi="Aptos" w:cs="Segoe UI"/>
          <w:color w:val="212121"/>
        </w:rPr>
        <w:t xml:space="preserve">. </w:t>
      </w:r>
    </w:p>
    <w:p w14:paraId="131B987A" w14:textId="1DB25C61" w:rsidR="00C44701" w:rsidRPr="007C2587" w:rsidRDefault="00C44701" w:rsidP="007C2587">
      <w:pPr>
        <w:pStyle w:val="Heading2"/>
        <w:rPr>
          <w:rFonts w:ascii="Aptos" w:eastAsia="Roboto" w:hAnsi="Aptos"/>
          <w:b/>
          <w:bCs/>
          <w:color w:val="auto"/>
        </w:rPr>
      </w:pPr>
      <w:r w:rsidRPr="007C2587">
        <w:rPr>
          <w:rFonts w:ascii="Aptos" w:eastAsia="Roboto" w:hAnsi="Aptos"/>
          <w:b/>
          <w:bCs/>
          <w:color w:val="auto"/>
        </w:rPr>
        <w:t>De</w:t>
      </w:r>
      <w:r w:rsidR="00C80945" w:rsidRPr="007C2587">
        <w:rPr>
          <w:rFonts w:ascii="Aptos" w:eastAsia="Roboto" w:hAnsi="Aptos"/>
          <w:b/>
          <w:bCs/>
          <w:color w:val="auto"/>
        </w:rPr>
        <w:t>-</w:t>
      </w:r>
      <w:r w:rsidRPr="007C2587">
        <w:rPr>
          <w:rFonts w:ascii="Aptos" w:eastAsia="Roboto" w:hAnsi="Aptos"/>
          <w:b/>
          <w:bCs/>
          <w:color w:val="auto"/>
        </w:rPr>
        <w:t>duplication</w:t>
      </w:r>
    </w:p>
    <w:p w14:paraId="1974897B" w14:textId="78F46C87" w:rsidR="00C80945" w:rsidRPr="00277AA6" w:rsidRDefault="00000000" w:rsidP="00AD4F37">
      <w:pPr>
        <w:spacing w:after="0" w:line="240" w:lineRule="auto"/>
        <w:rPr>
          <w:rFonts w:ascii="Aptos" w:eastAsia="Roboto" w:hAnsi="Aptos" w:cs="Roboto"/>
          <w:color w:val="212121"/>
        </w:rPr>
      </w:pPr>
      <w:hyperlink r:id="rId19" w:history="1">
        <w:r w:rsidR="00C44701" w:rsidRPr="00277AA6">
          <w:rPr>
            <w:rStyle w:val="Hyperlink"/>
            <w:rFonts w:ascii="Aptos" w:eastAsia="Roboto" w:hAnsi="Aptos" w:cs="Roboto"/>
          </w:rPr>
          <w:t>Considerations for conducting systematic reviews: evaluating the performance of different methods for de-duplicating references.</w:t>
        </w:r>
      </w:hyperlink>
      <w:r w:rsidR="00C44701" w:rsidRPr="00277AA6">
        <w:rPr>
          <w:rFonts w:ascii="Aptos" w:eastAsia="Roboto" w:hAnsi="Aptos" w:cs="Roboto"/>
          <w:color w:val="212121"/>
        </w:rPr>
        <w:t xml:space="preserve"> </w:t>
      </w:r>
    </w:p>
    <w:p w14:paraId="56320F0C" w14:textId="692ADC31" w:rsidR="00C44701" w:rsidRPr="00277AA6" w:rsidRDefault="00000000" w:rsidP="00AD4F37">
      <w:pPr>
        <w:spacing w:before="80" w:after="120" w:line="240" w:lineRule="auto"/>
        <w:rPr>
          <w:rFonts w:ascii="Aptos" w:eastAsia="Roboto" w:hAnsi="Aptos" w:cs="Roboto"/>
          <w:color w:val="212121"/>
        </w:rPr>
      </w:pPr>
      <w:hyperlink r:id="rId20" w:history="1">
        <w:r w:rsidR="00A05742" w:rsidRPr="00277AA6">
          <w:rPr>
            <w:rStyle w:val="Hyperlink"/>
            <w:rFonts w:ascii="Aptos" w:eastAsia="Roboto" w:hAnsi="Aptos" w:cs="Roboto"/>
          </w:rPr>
          <w:t>Considerations for conducting systematic reviews: A follow-up study to evaluate the performance of various automated methods for reference de-duplication.</w:t>
        </w:r>
      </w:hyperlink>
    </w:p>
    <w:p w14:paraId="727C47E4" w14:textId="72D90B42" w:rsidR="00C44701" w:rsidRPr="00277AA6" w:rsidRDefault="00000000" w:rsidP="00C44701">
      <w:pPr>
        <w:spacing w:line="240" w:lineRule="auto"/>
        <w:rPr>
          <w:rFonts w:ascii="Aptos" w:eastAsia="Segoe UI" w:hAnsi="Aptos" w:cs="Segoe UI"/>
        </w:rPr>
      </w:pPr>
      <w:hyperlink r:id="rId21" w:history="1">
        <w:r w:rsidR="00B35722" w:rsidRPr="00277AA6">
          <w:rPr>
            <w:rStyle w:val="Hyperlink"/>
            <w:rFonts w:ascii="Aptos" w:eastAsia="Roboto" w:hAnsi="Aptos" w:cs="Roboto"/>
          </w:rPr>
          <w:t>De-duplication of database search results for systematic reviews in EndNote.</w:t>
        </w:r>
      </w:hyperlink>
      <w:r w:rsidR="00B35722" w:rsidRPr="00277AA6">
        <w:rPr>
          <w:rFonts w:ascii="Aptos" w:eastAsia="Roboto" w:hAnsi="Aptos" w:cs="Roboto"/>
          <w:color w:val="212121"/>
        </w:rPr>
        <w:t xml:space="preserve"> </w:t>
      </w:r>
    </w:p>
    <w:p w14:paraId="24DEE912" w14:textId="77777777" w:rsidR="00C44701" w:rsidRPr="00277AA6" w:rsidRDefault="00C44701" w:rsidP="00C44701">
      <w:pPr>
        <w:pStyle w:val="Heading2"/>
        <w:rPr>
          <w:rFonts w:ascii="Aptos" w:eastAsia="Segoe UI" w:hAnsi="Aptos" w:cs="Segoe UI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 xml:space="preserve">When to stop searching </w:t>
      </w:r>
    </w:p>
    <w:p w14:paraId="16EFD1D1" w14:textId="4BDEB815" w:rsidR="00C44701" w:rsidRPr="00277AA6" w:rsidRDefault="00C44701" w:rsidP="00C44701">
      <w:pPr>
        <w:spacing w:line="240" w:lineRule="auto"/>
        <w:rPr>
          <w:rFonts w:ascii="Aptos" w:eastAsia="Roboto" w:hAnsi="Aptos" w:cs="Roboto"/>
          <w:color w:val="212121"/>
        </w:rPr>
      </w:pPr>
      <w:r w:rsidRPr="00277AA6">
        <w:rPr>
          <w:rFonts w:ascii="Aptos" w:eastAsia="Roboto" w:hAnsi="Aptos" w:cs="Roboto"/>
          <w:color w:val="212121"/>
        </w:rPr>
        <w:t>Cooper HM, Hedges LV, Valentine JC. The handbook of research synthesis and meta-analysis. 2nd ed. New York: Russell Sage Foundation 2009.</w:t>
      </w:r>
    </w:p>
    <w:p w14:paraId="0950EA76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Poster and abstracts of SRS</w:t>
      </w:r>
    </w:p>
    <w:p w14:paraId="003F78CD" w14:textId="5A472040" w:rsidR="00C44701" w:rsidRPr="00277AA6" w:rsidRDefault="00000000" w:rsidP="008464FE">
      <w:pPr>
        <w:spacing w:line="240" w:lineRule="auto"/>
        <w:rPr>
          <w:rFonts w:ascii="Aptos" w:eastAsia="Segoe UI" w:hAnsi="Aptos" w:cs="Segoe UI"/>
          <w:color w:val="212121"/>
        </w:rPr>
      </w:pPr>
      <w:hyperlink r:id="rId22" w:history="1">
        <w:r w:rsidR="00EC2168" w:rsidRPr="00277AA6">
          <w:rPr>
            <w:rStyle w:val="Hyperlink"/>
            <w:rFonts w:ascii="Aptos" w:eastAsia="Segoe UI" w:hAnsi="Aptos" w:cs="Segoe UI"/>
          </w:rPr>
          <w:t>Preferences of Knowledge Users for Two Formats of Summarizing Results from Systematic Reviews: Infographics and Critical Appraisals.</w:t>
        </w:r>
      </w:hyperlink>
      <w:r w:rsidR="008464FE" w:rsidRPr="00277AA6">
        <w:rPr>
          <w:rFonts w:ascii="Aptos" w:eastAsia="Segoe UI" w:hAnsi="Aptos" w:cs="Segoe UI"/>
          <w:color w:val="212121"/>
        </w:rPr>
        <w:t xml:space="preserve"> </w:t>
      </w:r>
    </w:p>
    <w:p w14:paraId="1E0A1256" w14:textId="1AE1849B" w:rsidR="00C44701" w:rsidRPr="00277AA6" w:rsidRDefault="00000000" w:rsidP="008464FE">
      <w:pPr>
        <w:spacing w:line="240" w:lineRule="auto"/>
        <w:rPr>
          <w:rFonts w:ascii="Aptos" w:hAnsi="Aptos"/>
        </w:rPr>
      </w:pPr>
      <w:hyperlink r:id="rId23" w:history="1">
        <w:r w:rsidR="00C44701" w:rsidRPr="00277AA6">
          <w:rPr>
            <w:rStyle w:val="Hyperlink"/>
            <w:rFonts w:ascii="Aptos" w:eastAsia="Segoe UI" w:hAnsi="Aptos" w:cs="Segoe UI"/>
          </w:rPr>
          <w:t>PRISMA-Abstract page</w:t>
        </w:r>
      </w:hyperlink>
    </w:p>
    <w:p w14:paraId="3F602AC9" w14:textId="07288C97" w:rsidR="00E1715B" w:rsidRPr="00277AA6" w:rsidRDefault="00000000" w:rsidP="008464FE">
      <w:pPr>
        <w:spacing w:line="240" w:lineRule="auto"/>
        <w:rPr>
          <w:rFonts w:ascii="Aptos" w:eastAsia="Segoe UI" w:hAnsi="Aptos" w:cs="Segoe UI"/>
        </w:rPr>
      </w:pPr>
      <w:hyperlink r:id="rId24" w:history="1">
        <w:r w:rsidR="00C44701" w:rsidRPr="00277AA6">
          <w:rPr>
            <w:rStyle w:val="Hyperlink"/>
            <w:rFonts w:ascii="Aptos" w:eastAsia="Segoe UI" w:hAnsi="Aptos" w:cs="Segoe UI"/>
          </w:rPr>
          <w:t>Cochrane guide on posters (templates)</w:t>
        </w:r>
      </w:hyperlink>
    </w:p>
    <w:sectPr w:rsidR="00E1715B" w:rsidRPr="00277AA6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2F581" w14:textId="77777777" w:rsidR="00A1710D" w:rsidRDefault="00A1710D" w:rsidP="00291D15">
      <w:pPr>
        <w:spacing w:after="0" w:line="240" w:lineRule="auto"/>
      </w:pPr>
      <w:r>
        <w:separator/>
      </w:r>
    </w:p>
  </w:endnote>
  <w:endnote w:type="continuationSeparator" w:id="0">
    <w:p w14:paraId="1AF39BBD" w14:textId="77777777" w:rsidR="00A1710D" w:rsidRDefault="00A1710D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51F3F" w14:textId="487A3CFA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FA66F1">
      <w:rPr>
        <w:sz w:val="16"/>
        <w:szCs w:val="16"/>
      </w:rPr>
      <w:t>August</w:t>
    </w:r>
    <w:r w:rsidR="000956FA">
      <w:rPr>
        <w:sz w:val="16"/>
        <w:szCs w:val="16"/>
      </w:rPr>
      <w:t xml:space="preserve"> 2024.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ED132" w14:textId="77777777" w:rsidR="00A1710D" w:rsidRDefault="00A1710D" w:rsidP="00291D15">
      <w:pPr>
        <w:spacing w:after="0" w:line="240" w:lineRule="auto"/>
      </w:pPr>
      <w:r>
        <w:separator/>
      </w:r>
    </w:p>
  </w:footnote>
  <w:footnote w:type="continuationSeparator" w:id="0">
    <w:p w14:paraId="16E47900" w14:textId="77777777" w:rsidR="00A1710D" w:rsidRDefault="00A1710D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F01A9"/>
    <w:multiLevelType w:val="hybridMultilevel"/>
    <w:tmpl w:val="FFEEE84C"/>
    <w:lvl w:ilvl="0" w:tplc="2B68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E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B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05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6E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47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2E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E8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01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CCF"/>
    <w:multiLevelType w:val="hybridMultilevel"/>
    <w:tmpl w:val="A2F03D84"/>
    <w:lvl w:ilvl="0" w:tplc="4DB6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ED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E3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4D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C2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C8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6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66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C5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DA07"/>
    <w:multiLevelType w:val="hybridMultilevel"/>
    <w:tmpl w:val="90023488"/>
    <w:lvl w:ilvl="0" w:tplc="949A5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A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29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26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A4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6E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8D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4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8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26DDB"/>
    <w:multiLevelType w:val="hybridMultilevel"/>
    <w:tmpl w:val="2EBAF770"/>
    <w:lvl w:ilvl="0" w:tplc="3AECE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0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6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6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B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4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8F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A5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AE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6"/>
  </w:num>
  <w:num w:numId="2" w16cid:durableId="80833258">
    <w:abstractNumId w:val="5"/>
  </w:num>
  <w:num w:numId="3" w16cid:durableId="886642812">
    <w:abstractNumId w:val="0"/>
  </w:num>
  <w:num w:numId="4" w16cid:durableId="729426877">
    <w:abstractNumId w:val="3"/>
  </w:num>
  <w:num w:numId="5" w16cid:durableId="873349644">
    <w:abstractNumId w:val="1"/>
  </w:num>
  <w:num w:numId="6" w16cid:durableId="628438853">
    <w:abstractNumId w:val="4"/>
  </w:num>
  <w:num w:numId="7" w16cid:durableId="52082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1624B"/>
    <w:rsid w:val="00021AB2"/>
    <w:rsid w:val="00034A47"/>
    <w:rsid w:val="000956FA"/>
    <w:rsid w:val="000F0551"/>
    <w:rsid w:val="001427C9"/>
    <w:rsid w:val="00144148"/>
    <w:rsid w:val="00164343"/>
    <w:rsid w:val="00171FA7"/>
    <w:rsid w:val="001E005E"/>
    <w:rsid w:val="00221AD4"/>
    <w:rsid w:val="00231B5D"/>
    <w:rsid w:val="00245009"/>
    <w:rsid w:val="00277AA6"/>
    <w:rsid w:val="00291D15"/>
    <w:rsid w:val="003106DB"/>
    <w:rsid w:val="003211A6"/>
    <w:rsid w:val="0038415E"/>
    <w:rsid w:val="003C0F48"/>
    <w:rsid w:val="00456325"/>
    <w:rsid w:val="00473B10"/>
    <w:rsid w:val="004845E0"/>
    <w:rsid w:val="00485108"/>
    <w:rsid w:val="004A1EA6"/>
    <w:rsid w:val="004B5D3C"/>
    <w:rsid w:val="004D4561"/>
    <w:rsid w:val="00513592"/>
    <w:rsid w:val="00571FE4"/>
    <w:rsid w:val="00590878"/>
    <w:rsid w:val="005A350D"/>
    <w:rsid w:val="005B3918"/>
    <w:rsid w:val="005D44D2"/>
    <w:rsid w:val="005D65C3"/>
    <w:rsid w:val="00613ED9"/>
    <w:rsid w:val="00625C5A"/>
    <w:rsid w:val="00637F35"/>
    <w:rsid w:val="00660EBD"/>
    <w:rsid w:val="006762ED"/>
    <w:rsid w:val="006E4876"/>
    <w:rsid w:val="007C2587"/>
    <w:rsid w:val="007F66FE"/>
    <w:rsid w:val="00807B67"/>
    <w:rsid w:val="00823EB6"/>
    <w:rsid w:val="008464FE"/>
    <w:rsid w:val="00985E7F"/>
    <w:rsid w:val="00986D94"/>
    <w:rsid w:val="009B3AAD"/>
    <w:rsid w:val="00A05742"/>
    <w:rsid w:val="00A1710D"/>
    <w:rsid w:val="00A57D04"/>
    <w:rsid w:val="00AC517E"/>
    <w:rsid w:val="00AD4F37"/>
    <w:rsid w:val="00B14B3F"/>
    <w:rsid w:val="00B35722"/>
    <w:rsid w:val="00B6732F"/>
    <w:rsid w:val="00B947CC"/>
    <w:rsid w:val="00BB4038"/>
    <w:rsid w:val="00BC4C1B"/>
    <w:rsid w:val="00BF49E7"/>
    <w:rsid w:val="00C44701"/>
    <w:rsid w:val="00C505EB"/>
    <w:rsid w:val="00C80945"/>
    <w:rsid w:val="00CA335D"/>
    <w:rsid w:val="00CE7517"/>
    <w:rsid w:val="00D46DA0"/>
    <w:rsid w:val="00D51EEC"/>
    <w:rsid w:val="00DF0C8E"/>
    <w:rsid w:val="00DF43E9"/>
    <w:rsid w:val="00E1715B"/>
    <w:rsid w:val="00E21980"/>
    <w:rsid w:val="00E30ED8"/>
    <w:rsid w:val="00E53CCF"/>
    <w:rsid w:val="00EC2168"/>
    <w:rsid w:val="00EE6A9F"/>
    <w:rsid w:val="00EF6417"/>
    <w:rsid w:val="00F23AFB"/>
    <w:rsid w:val="00F23CAF"/>
    <w:rsid w:val="00F539B1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handbook/current" TargetMode="External"/><Relationship Id="rId13" Type="http://schemas.openxmlformats.org/officeDocument/2006/relationships/hyperlink" Target="https://training.cochrane.org/handbook/current/chapter-04" TargetMode="External"/><Relationship Id="rId18" Type="http://schemas.openxmlformats.org/officeDocument/2006/relationships/hyperlink" Target="https://pubmed.ncbi.nlm.nih.gov/39095913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2736613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estpractice.bmj.com/info/toolkit/learn-ebm/study-design-search-filters/" TargetMode="External"/><Relationship Id="rId17" Type="http://schemas.openxmlformats.org/officeDocument/2006/relationships/hyperlink" Target="https://sr-accelerator.com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earchsmart.org/" TargetMode="External"/><Relationship Id="rId20" Type="http://schemas.openxmlformats.org/officeDocument/2006/relationships/hyperlink" Target="https://pubmed.ncbi.nlm.nih.gov/3905157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filters.cadth.ca/" TargetMode="External"/><Relationship Id="rId24" Type="http://schemas.openxmlformats.org/officeDocument/2006/relationships/hyperlink" Target="https://www.cochrane.org/news/betterposter-templates-cochrane-colloquium-attende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9359691/" TargetMode="External"/><Relationship Id="rId23" Type="http://schemas.openxmlformats.org/officeDocument/2006/relationships/hyperlink" Target="https://www.prisma-statement.org/abstrac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tes.google.com/a/york.ac.uk/issg-search-filters-resource/home" TargetMode="External"/><Relationship Id="rId19" Type="http://schemas.openxmlformats.org/officeDocument/2006/relationships/hyperlink" Target="https://pubmed.ncbi.nlm.nih.gov/334853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cochrane.org/mecir-manual" TargetMode="External"/><Relationship Id="rId14" Type="http://schemas.openxmlformats.org/officeDocument/2006/relationships/hyperlink" Target="https://sr-accelerator.com/" TargetMode="External"/><Relationship Id="rId22" Type="http://schemas.openxmlformats.org/officeDocument/2006/relationships/hyperlink" Target="https://pubmed.ncbi.nlm.nih.gov/26466099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Piecing Together Systematic Reviews. Phase 3: Production</vt:lpstr>
      <vt:lpstr>    Cochrane standards</vt:lpstr>
      <vt:lpstr>    Search filters</vt:lpstr>
      <vt:lpstr>    Polyglot search translator</vt:lpstr>
      <vt:lpstr>    SRA De-duplicator</vt:lpstr>
      <vt:lpstr>    De-duplication</vt:lpstr>
      <vt:lpstr>    When to stop searching </vt:lpstr>
      <vt:lpstr>    Poster and abstracts of SRS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21</cp:revision>
  <dcterms:created xsi:type="dcterms:W3CDTF">2024-08-27T21:42:00Z</dcterms:created>
  <dcterms:modified xsi:type="dcterms:W3CDTF">2024-08-28T12:36:00Z</dcterms:modified>
</cp:coreProperties>
</file>