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4342" w14:textId="617F253F" w:rsidR="00EF23CB" w:rsidRDefault="00E20228" w:rsidP="00EF23CB">
      <w:pPr>
        <w:pStyle w:val="Heading1"/>
        <w:spacing w:after="120"/>
        <w:jc w:val="center"/>
        <w:rPr>
          <w:rFonts w:ascii="Aptos" w:hAnsi="Aptos" w:cstheme="majorHAnsi"/>
          <w:b/>
          <w:bCs/>
          <w:color w:val="auto"/>
        </w:rPr>
      </w:pPr>
      <w:r w:rsidRPr="00CE570C">
        <w:rPr>
          <w:rFonts w:ascii="Aptos" w:hAnsi="Aptos" w:cstheme="majorHAnsi"/>
          <w:b/>
          <w:bCs/>
          <w:color w:val="auto"/>
        </w:rPr>
        <w:t>Mental Health in the Workplace Handout</w:t>
      </w:r>
    </w:p>
    <w:p w14:paraId="2746C6C4" w14:textId="07B4E0F1" w:rsidR="00137BA0" w:rsidRPr="006424DF" w:rsidRDefault="006424DF" w:rsidP="006B5D23">
      <w:pPr>
        <w:rPr>
          <w:rStyle w:val="Hyperlink"/>
          <w:rFonts w:ascii="Aptos" w:hAnsi="Aptos"/>
        </w:rPr>
      </w:pPr>
      <w:hyperlink r:id="rId7" w:history="1">
        <w:r w:rsidR="00EF23CB">
          <w:rPr>
            <w:rStyle w:val="Hyperlink"/>
            <w:rFonts w:ascii="Aptos" w:hAnsi="Aptos"/>
          </w:rPr>
          <w:t>Surgeon General Framework</w:t>
        </w:r>
      </w:hyperlink>
    </w:p>
    <w:p w14:paraId="669A9972" w14:textId="60E03455" w:rsidR="00137BA0" w:rsidRPr="00CE570C" w:rsidRDefault="0087653A" w:rsidP="006B5D23">
      <w:pPr>
        <w:rPr>
          <w:rStyle w:val="Hyperlink"/>
          <w:rFonts w:ascii="Aptos" w:hAnsi="Aptos"/>
        </w:rPr>
      </w:pPr>
      <w:hyperlink r:id="rId8" w:history="1">
        <w:r w:rsidRPr="00CE570C">
          <w:rPr>
            <w:rStyle w:val="Hyperlink"/>
            <w:rFonts w:ascii="Aptos" w:hAnsi="Aptos"/>
          </w:rPr>
          <w:t>SAMHSA</w:t>
        </w:r>
      </w:hyperlink>
      <w:r w:rsidR="00137BA0" w:rsidRPr="00CE570C">
        <w:rPr>
          <w:rStyle w:val="Hyperlink"/>
          <w:rFonts w:ascii="Aptos" w:hAnsi="Aptos"/>
        </w:rPr>
        <w:t xml:space="preserve"> </w:t>
      </w:r>
    </w:p>
    <w:p w14:paraId="409679F9" w14:textId="052D8E8E" w:rsidR="00137BA0" w:rsidRPr="00714761" w:rsidRDefault="00137BA0" w:rsidP="00714761">
      <w:pPr>
        <w:pStyle w:val="Heading2"/>
        <w:rPr>
          <w:rFonts w:ascii="Aptos" w:hAnsi="Aptos"/>
          <w:b/>
          <w:bCs/>
          <w:color w:val="auto"/>
          <w:sz w:val="32"/>
          <w:szCs w:val="32"/>
        </w:rPr>
      </w:pPr>
      <w:r w:rsidRPr="00714761">
        <w:rPr>
          <w:rFonts w:ascii="Aptos" w:hAnsi="Aptos"/>
          <w:b/>
          <w:bCs/>
          <w:color w:val="auto"/>
          <w:sz w:val="32"/>
          <w:szCs w:val="32"/>
        </w:rPr>
        <w:t xml:space="preserve">MedlinePlus: </w:t>
      </w:r>
    </w:p>
    <w:p w14:paraId="1B313560" w14:textId="77777777" w:rsidR="00137BA0" w:rsidRPr="00CE570C" w:rsidRDefault="00137BA0" w:rsidP="001C4227">
      <w:pPr>
        <w:rPr>
          <w:rStyle w:val="Hyperlink"/>
          <w:rFonts w:ascii="Aptos" w:hAnsi="Aptos"/>
        </w:rPr>
      </w:pPr>
      <w:hyperlink r:id="rId9" w:history="1">
        <w:r w:rsidRPr="00CE570C">
          <w:rPr>
            <w:rStyle w:val="Hyperlink"/>
            <w:rFonts w:ascii="Aptos" w:hAnsi="Aptos"/>
          </w:rPr>
          <w:t>Mental Health</w:t>
        </w:r>
      </w:hyperlink>
    </w:p>
    <w:p w14:paraId="49D971BA" w14:textId="77777777" w:rsidR="00137BA0" w:rsidRPr="00CE570C" w:rsidRDefault="00137BA0" w:rsidP="001C4227">
      <w:pPr>
        <w:rPr>
          <w:rStyle w:val="Hyperlink"/>
          <w:rFonts w:ascii="Aptos" w:hAnsi="Aptos"/>
        </w:rPr>
      </w:pPr>
      <w:hyperlink r:id="rId10" w:history="1">
        <w:r w:rsidRPr="00CE570C">
          <w:rPr>
            <w:rStyle w:val="Hyperlink"/>
            <w:rFonts w:ascii="Aptos" w:hAnsi="Aptos"/>
          </w:rPr>
          <w:t>How to Improve Mental Health</w:t>
        </w:r>
      </w:hyperlink>
    </w:p>
    <w:p w14:paraId="35ECBBD8" w14:textId="1E20FA6F" w:rsidR="00137BA0" w:rsidRPr="00CE570C" w:rsidRDefault="00CB0B38" w:rsidP="001C4227">
      <w:pPr>
        <w:rPr>
          <w:rStyle w:val="Hyperlink"/>
          <w:rFonts w:ascii="Aptos" w:hAnsi="Aptos"/>
        </w:rPr>
      </w:pPr>
      <w:hyperlink r:id="rId11" w:history="1">
        <w:r>
          <w:rPr>
            <w:rStyle w:val="Hyperlink"/>
            <w:rFonts w:ascii="Aptos" w:hAnsi="Aptos"/>
          </w:rPr>
          <w:t>Environmental Health</w:t>
        </w:r>
      </w:hyperlink>
    </w:p>
    <w:p w14:paraId="55EF2E0D" w14:textId="77777777" w:rsidR="00137BA0" w:rsidRPr="00CE570C" w:rsidRDefault="00137BA0" w:rsidP="001C4227">
      <w:pPr>
        <w:rPr>
          <w:rStyle w:val="Hyperlink"/>
          <w:rFonts w:ascii="Aptos" w:hAnsi="Aptos"/>
        </w:rPr>
      </w:pPr>
      <w:hyperlink r:id="rId12" w:history="1">
        <w:r w:rsidRPr="00CE570C">
          <w:rPr>
            <w:rStyle w:val="Hyperlink"/>
            <w:rFonts w:ascii="Aptos" w:hAnsi="Aptos"/>
          </w:rPr>
          <w:t>Fitness and Exercise</w:t>
        </w:r>
      </w:hyperlink>
    </w:p>
    <w:p w14:paraId="53C687BB" w14:textId="77777777" w:rsidR="00137BA0" w:rsidRPr="00CE570C" w:rsidRDefault="00137BA0" w:rsidP="001C4227">
      <w:pPr>
        <w:rPr>
          <w:rStyle w:val="Hyperlink"/>
          <w:rFonts w:ascii="Aptos" w:hAnsi="Aptos"/>
        </w:rPr>
      </w:pPr>
      <w:hyperlink r:id="rId13" w:history="1">
        <w:r w:rsidRPr="00CE570C">
          <w:rPr>
            <w:rStyle w:val="Hyperlink"/>
            <w:rFonts w:ascii="Aptos" w:hAnsi="Aptos"/>
          </w:rPr>
          <w:t>Food and Nutrition  </w:t>
        </w:r>
      </w:hyperlink>
    </w:p>
    <w:p w14:paraId="0251F711" w14:textId="0C410B9F" w:rsidR="00137BA0" w:rsidRPr="00CE570C" w:rsidRDefault="00CB0B38" w:rsidP="001C4227">
      <w:pPr>
        <w:rPr>
          <w:rStyle w:val="Hyperlink"/>
          <w:rFonts w:ascii="Aptos" w:hAnsi="Aptos"/>
        </w:rPr>
      </w:pPr>
      <w:hyperlink r:id="rId14" w:history="1">
        <w:r>
          <w:rPr>
            <w:rStyle w:val="Hyperlink"/>
            <w:rFonts w:ascii="Aptos" w:hAnsi="Aptos"/>
          </w:rPr>
          <w:t>Personal Health Issues</w:t>
        </w:r>
      </w:hyperlink>
    </w:p>
    <w:p w14:paraId="1D7FEA65" w14:textId="3C3CF8CC" w:rsidR="00137BA0" w:rsidRPr="00CE570C" w:rsidRDefault="00CB0B38" w:rsidP="001C4227">
      <w:pPr>
        <w:rPr>
          <w:rStyle w:val="Hyperlink"/>
          <w:rFonts w:ascii="Aptos" w:hAnsi="Aptos"/>
        </w:rPr>
      </w:pPr>
      <w:hyperlink r:id="rId15" w:history="1">
        <w:r>
          <w:rPr>
            <w:rStyle w:val="Hyperlink"/>
            <w:rFonts w:ascii="Aptos" w:hAnsi="Aptos"/>
          </w:rPr>
          <w:t>Recipes</w:t>
        </w:r>
      </w:hyperlink>
    </w:p>
    <w:p w14:paraId="4F4FE668" w14:textId="1C2A086C" w:rsidR="00137BA0" w:rsidRPr="00CE570C" w:rsidRDefault="00CB0B38" w:rsidP="001C4227">
      <w:pPr>
        <w:rPr>
          <w:rStyle w:val="Hyperlink"/>
          <w:rFonts w:ascii="Aptos" w:hAnsi="Aptos"/>
        </w:rPr>
      </w:pPr>
      <w:hyperlink r:id="rId16" w:history="1">
        <w:r>
          <w:rPr>
            <w:rStyle w:val="Hyperlink"/>
            <w:rFonts w:ascii="Aptos" w:hAnsi="Aptos"/>
          </w:rPr>
          <w:t>Social and Family Issues</w:t>
        </w:r>
      </w:hyperlink>
    </w:p>
    <w:p w14:paraId="4746F9B9" w14:textId="5B23AF84" w:rsidR="00137BA0" w:rsidRPr="00CE570C" w:rsidRDefault="00CB0B38" w:rsidP="00864127">
      <w:pPr>
        <w:spacing w:after="240"/>
        <w:rPr>
          <w:rStyle w:val="Hyperlink"/>
          <w:rFonts w:ascii="Aptos" w:hAnsi="Aptos"/>
        </w:rPr>
      </w:pPr>
      <w:hyperlink r:id="rId17" w:history="1">
        <w:r>
          <w:rPr>
            <w:rStyle w:val="Hyperlink"/>
            <w:rFonts w:ascii="Aptos" w:hAnsi="Aptos"/>
          </w:rPr>
          <w:t>Wellness and Lifestyle</w:t>
        </w:r>
      </w:hyperlink>
    </w:p>
    <w:p w14:paraId="3E944F03" w14:textId="2E868048" w:rsidR="0081342A" w:rsidRPr="00714761" w:rsidRDefault="0081342A" w:rsidP="00714761">
      <w:pPr>
        <w:pStyle w:val="Heading2"/>
        <w:spacing w:after="120"/>
        <w:rPr>
          <w:rFonts w:ascii="Aptos" w:hAnsi="Aptos"/>
          <w:b/>
          <w:bCs/>
          <w:color w:val="auto"/>
          <w:sz w:val="32"/>
          <w:szCs w:val="32"/>
        </w:rPr>
      </w:pPr>
      <w:r w:rsidRPr="00714761">
        <w:rPr>
          <w:rFonts w:ascii="Aptos" w:hAnsi="Aptos"/>
          <w:b/>
          <w:bCs/>
          <w:color w:val="auto"/>
          <w:sz w:val="32"/>
          <w:szCs w:val="32"/>
        </w:rPr>
        <w:t>Other mental health resources:</w:t>
      </w:r>
    </w:p>
    <w:p w14:paraId="1CBCAF0D" w14:textId="77777777" w:rsidR="00714761" w:rsidRDefault="0081342A" w:rsidP="00714761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Aptos" w:hAnsi="Aptos" w:cstheme="majorHAnsi"/>
          <w:color w:val="353432"/>
        </w:rPr>
      </w:pPr>
      <w:hyperlink r:id="rId18" w:history="1">
        <w:r w:rsidRPr="00CE570C">
          <w:rPr>
            <w:rStyle w:val="Hyperlink"/>
            <w:rFonts w:ascii="Aptos" w:hAnsi="Aptos" w:cstheme="majorHAnsi"/>
            <w:b/>
            <w:bCs/>
            <w:color w:val="2E4E74"/>
          </w:rPr>
          <w:t>Caring for your Mental Health – National Institute on Mental Health</w:t>
        </w:r>
      </w:hyperlink>
    </w:p>
    <w:p w14:paraId="2A9A67BF" w14:textId="670743B0" w:rsidR="0081342A" w:rsidRPr="00714761" w:rsidRDefault="0081342A" w:rsidP="0081342A">
      <w:pPr>
        <w:pStyle w:val="NormalWeb"/>
        <w:shd w:val="clear" w:color="auto" w:fill="FFFFFF"/>
        <w:spacing w:before="0" w:beforeAutospacing="0"/>
        <w:rPr>
          <w:rFonts w:ascii="Aptos" w:hAnsi="Aptos" w:cstheme="majorHAnsi"/>
        </w:rPr>
      </w:pPr>
      <w:r w:rsidRPr="00714761">
        <w:rPr>
          <w:rFonts w:ascii="Aptos" w:hAnsi="Aptos" w:cstheme="majorHAnsi"/>
        </w:rPr>
        <w:t>Mental health includes emotional, psychological, and social well-being. It affects how we think, feel, act, make choices, and relate to others. Mental health is more than the absence of a mental illness—it’s essential to your overall health and quality of life. Self-care can play a role in maintaining your mental health and help support your treatment and recovery if you have a mental illness.</w:t>
      </w:r>
    </w:p>
    <w:p w14:paraId="008AE2E2" w14:textId="7409A9BD" w:rsidR="0081342A" w:rsidRPr="00CE570C" w:rsidRDefault="0081342A" w:rsidP="0081342A">
      <w:pPr>
        <w:pStyle w:val="NormalWeb"/>
        <w:shd w:val="clear" w:color="auto" w:fill="FFFFFF"/>
        <w:spacing w:before="0" w:beforeAutospacing="0"/>
        <w:rPr>
          <w:rFonts w:ascii="Aptos" w:hAnsi="Aptos" w:cstheme="majorHAnsi"/>
          <w:color w:val="353432"/>
        </w:rPr>
      </w:pPr>
      <w:hyperlink r:id="rId19" w:history="1">
        <w:r w:rsidR="00714761">
          <w:rPr>
            <w:rStyle w:val="Hyperlink"/>
            <w:rFonts w:ascii="Aptos" w:hAnsi="Aptos" w:cstheme="majorHAnsi"/>
            <w:b/>
            <w:bCs/>
            <w:color w:val="2E4E74"/>
          </w:rPr>
          <w:t>National Institutes of Health (NIH) Emotional Wellness Toolkit</w:t>
        </w:r>
      </w:hyperlink>
      <w:r w:rsidRPr="00CE570C">
        <w:rPr>
          <w:rFonts w:ascii="Aptos" w:hAnsi="Aptos" w:cstheme="majorHAnsi"/>
          <w:color w:val="353432"/>
        </w:rPr>
        <w:t xml:space="preserve">: </w:t>
      </w:r>
      <w:r w:rsidRPr="00714761">
        <w:rPr>
          <w:rFonts w:ascii="Aptos" w:hAnsi="Aptos" w:cstheme="majorHAnsi"/>
        </w:rPr>
        <w:t>This NIH toolkit provides six strategies for improving your emotional health.</w:t>
      </w:r>
      <w:r w:rsidRPr="00714761">
        <w:rPr>
          <w:rStyle w:val="Strong"/>
          <w:rFonts w:ascii="Aptos" w:hAnsi="Aptos" w:cstheme="majorHAnsi"/>
        </w:rPr>
        <w:t> </w:t>
      </w:r>
    </w:p>
    <w:p w14:paraId="750D607A" w14:textId="2C117B59" w:rsidR="0081342A" w:rsidRPr="00864127" w:rsidRDefault="0081342A" w:rsidP="00864127">
      <w:pPr>
        <w:pStyle w:val="NormalWeb"/>
        <w:shd w:val="clear" w:color="auto" w:fill="FFFFFF"/>
        <w:spacing w:before="0" w:beforeAutospacing="0"/>
        <w:rPr>
          <w:rFonts w:ascii="Aptos" w:hAnsi="Aptos" w:cstheme="majorHAnsi"/>
          <w:color w:val="353432"/>
        </w:rPr>
      </w:pPr>
      <w:hyperlink r:id="rId20" w:history="1">
        <w:r w:rsidR="00714761">
          <w:rPr>
            <w:rStyle w:val="Hyperlink"/>
            <w:rFonts w:ascii="Aptos" w:hAnsi="Aptos" w:cstheme="majorHAnsi"/>
            <w:b/>
            <w:bCs/>
            <w:color w:val="2E4E74"/>
          </w:rPr>
          <w:t>National Institutes of Health (NIH) Social Wellness Toolkit</w:t>
        </w:r>
      </w:hyperlink>
      <w:r w:rsidRPr="00CE570C">
        <w:rPr>
          <w:rFonts w:ascii="Aptos" w:hAnsi="Aptos" w:cstheme="majorHAnsi"/>
          <w:color w:val="353432"/>
        </w:rPr>
        <w:t xml:space="preserve">: </w:t>
      </w:r>
      <w:r w:rsidRPr="00714761">
        <w:rPr>
          <w:rFonts w:ascii="Aptos" w:hAnsi="Aptos" w:cstheme="majorHAnsi"/>
        </w:rPr>
        <w:t>This NIH toolkit provides six strategies for improving your social health.</w:t>
      </w:r>
    </w:p>
    <w:sectPr w:rsidR="0081342A" w:rsidRPr="0086412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A7CF" w14:textId="77777777" w:rsidR="00A04F23" w:rsidRDefault="00A04F23" w:rsidP="00291D15">
      <w:pPr>
        <w:spacing w:after="0" w:line="240" w:lineRule="auto"/>
      </w:pPr>
      <w:r>
        <w:separator/>
      </w:r>
    </w:p>
  </w:endnote>
  <w:endnote w:type="continuationSeparator" w:id="0">
    <w:p w14:paraId="788BBC06" w14:textId="77777777" w:rsidR="00A04F23" w:rsidRDefault="00A04F23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0A833A6C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717AD">
      <w:rPr>
        <w:sz w:val="16"/>
        <w:szCs w:val="16"/>
      </w:rPr>
      <w:t xml:space="preserve"> Updated </w:t>
    </w:r>
    <w:r w:rsidR="0090746B">
      <w:rPr>
        <w:sz w:val="16"/>
        <w:szCs w:val="16"/>
      </w:rPr>
      <w:t>January 2025</w:t>
    </w:r>
    <w:r w:rsidR="004717AD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5FC0" w14:textId="77777777" w:rsidR="00A04F23" w:rsidRDefault="00A04F23" w:rsidP="00291D15">
      <w:pPr>
        <w:spacing w:after="0" w:line="240" w:lineRule="auto"/>
      </w:pPr>
      <w:r>
        <w:separator/>
      </w:r>
    </w:p>
  </w:footnote>
  <w:footnote w:type="continuationSeparator" w:id="0">
    <w:p w14:paraId="380A1C4E" w14:textId="77777777" w:rsidR="00A04F23" w:rsidRDefault="00A04F23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24C"/>
    <w:multiLevelType w:val="hybridMultilevel"/>
    <w:tmpl w:val="3D008A8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C74F46"/>
    <w:multiLevelType w:val="hybridMultilevel"/>
    <w:tmpl w:val="FBF6CB64"/>
    <w:lvl w:ilvl="0" w:tplc="33CE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A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A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7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4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0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04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D579D6"/>
    <w:multiLevelType w:val="hybridMultilevel"/>
    <w:tmpl w:val="3EC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4399"/>
    <w:multiLevelType w:val="hybridMultilevel"/>
    <w:tmpl w:val="3942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0567"/>
    <w:multiLevelType w:val="hybridMultilevel"/>
    <w:tmpl w:val="8C36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3D3D"/>
    <w:multiLevelType w:val="hybridMultilevel"/>
    <w:tmpl w:val="02AE3BAA"/>
    <w:lvl w:ilvl="0" w:tplc="6350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427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ACB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44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0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EF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E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A0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A0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AC5C55"/>
    <w:multiLevelType w:val="hybridMultilevel"/>
    <w:tmpl w:val="619E8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07EB"/>
    <w:multiLevelType w:val="hybridMultilevel"/>
    <w:tmpl w:val="619E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790E"/>
    <w:multiLevelType w:val="hybridMultilevel"/>
    <w:tmpl w:val="472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554F2"/>
    <w:multiLevelType w:val="hybridMultilevel"/>
    <w:tmpl w:val="6E58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20C48"/>
    <w:multiLevelType w:val="hybridMultilevel"/>
    <w:tmpl w:val="C5C6E2AA"/>
    <w:lvl w:ilvl="0" w:tplc="38B6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2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A6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C6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6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65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CB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2F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E7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735BE"/>
    <w:multiLevelType w:val="hybridMultilevel"/>
    <w:tmpl w:val="BC86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458">
    <w:abstractNumId w:val="11"/>
  </w:num>
  <w:num w:numId="2" w16cid:durableId="1619795532">
    <w:abstractNumId w:val="7"/>
  </w:num>
  <w:num w:numId="3" w16cid:durableId="2098558058">
    <w:abstractNumId w:val="6"/>
  </w:num>
  <w:num w:numId="4" w16cid:durableId="1497846207">
    <w:abstractNumId w:val="4"/>
  </w:num>
  <w:num w:numId="5" w16cid:durableId="1292830266">
    <w:abstractNumId w:val="8"/>
  </w:num>
  <w:num w:numId="6" w16cid:durableId="2141920022">
    <w:abstractNumId w:val="3"/>
  </w:num>
  <w:num w:numId="7" w16cid:durableId="1282420013">
    <w:abstractNumId w:val="9"/>
  </w:num>
  <w:num w:numId="8" w16cid:durableId="1287858778">
    <w:abstractNumId w:val="5"/>
  </w:num>
  <w:num w:numId="9" w16cid:durableId="156312613">
    <w:abstractNumId w:val="1"/>
  </w:num>
  <w:num w:numId="10" w16cid:durableId="2047831866">
    <w:abstractNumId w:val="12"/>
  </w:num>
  <w:num w:numId="11" w16cid:durableId="709650572">
    <w:abstractNumId w:val="2"/>
  </w:num>
  <w:num w:numId="12" w16cid:durableId="1256549805">
    <w:abstractNumId w:val="10"/>
  </w:num>
  <w:num w:numId="13" w16cid:durableId="209370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0753"/>
    <w:rsid w:val="000647FD"/>
    <w:rsid w:val="000A6B7B"/>
    <w:rsid w:val="000B1C9E"/>
    <w:rsid w:val="00137BA0"/>
    <w:rsid w:val="00141AD6"/>
    <w:rsid w:val="00171FA7"/>
    <w:rsid w:val="00197A7E"/>
    <w:rsid w:val="001C4227"/>
    <w:rsid w:val="00221AD4"/>
    <w:rsid w:val="002631D1"/>
    <w:rsid w:val="0027247A"/>
    <w:rsid w:val="00291D15"/>
    <w:rsid w:val="003106DB"/>
    <w:rsid w:val="003F54BC"/>
    <w:rsid w:val="004717AD"/>
    <w:rsid w:val="00485108"/>
    <w:rsid w:val="004D4561"/>
    <w:rsid w:val="00513592"/>
    <w:rsid w:val="005A4EC7"/>
    <w:rsid w:val="005D44D2"/>
    <w:rsid w:val="00625C5A"/>
    <w:rsid w:val="006424DF"/>
    <w:rsid w:val="00681E02"/>
    <w:rsid w:val="0068275A"/>
    <w:rsid w:val="006B5D23"/>
    <w:rsid w:val="006E700D"/>
    <w:rsid w:val="007105FE"/>
    <w:rsid w:val="00714761"/>
    <w:rsid w:val="00770DE8"/>
    <w:rsid w:val="00795AF3"/>
    <w:rsid w:val="007A28D7"/>
    <w:rsid w:val="007C17A3"/>
    <w:rsid w:val="007F66FE"/>
    <w:rsid w:val="008023E8"/>
    <w:rsid w:val="0081342A"/>
    <w:rsid w:val="00852E03"/>
    <w:rsid w:val="008550BA"/>
    <w:rsid w:val="0086409F"/>
    <w:rsid w:val="00864127"/>
    <w:rsid w:val="0087653A"/>
    <w:rsid w:val="0090746B"/>
    <w:rsid w:val="00956A8C"/>
    <w:rsid w:val="00991020"/>
    <w:rsid w:val="009B1FFC"/>
    <w:rsid w:val="00A04F23"/>
    <w:rsid w:val="00A57D04"/>
    <w:rsid w:val="00A83A38"/>
    <w:rsid w:val="00A921EC"/>
    <w:rsid w:val="00AC31C5"/>
    <w:rsid w:val="00AE3BBE"/>
    <w:rsid w:val="00AF2793"/>
    <w:rsid w:val="00B50255"/>
    <w:rsid w:val="00C13B4E"/>
    <w:rsid w:val="00C340FB"/>
    <w:rsid w:val="00C363CE"/>
    <w:rsid w:val="00CB0B38"/>
    <w:rsid w:val="00CC4082"/>
    <w:rsid w:val="00CE570C"/>
    <w:rsid w:val="00D32C01"/>
    <w:rsid w:val="00D51EEC"/>
    <w:rsid w:val="00D53C0A"/>
    <w:rsid w:val="00DE2339"/>
    <w:rsid w:val="00E20228"/>
    <w:rsid w:val="00ED485B"/>
    <w:rsid w:val="00E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2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3B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13B4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41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37B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34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42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6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amhsa.gov/product/creating-healthier-life-step-step-guide-wellness/sma16-4958" TargetMode="External"/><Relationship Id="rId13" Type="http://schemas.openxmlformats.org/officeDocument/2006/relationships/hyperlink" Target="https://medlineplus.gov/foodandnutrition.html" TargetMode="External"/><Relationship Id="rId18" Type="http://schemas.openxmlformats.org/officeDocument/2006/relationships/hyperlink" Target="https://www.nimh.nih.gov/health/topics/caring-for-your-mental-health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hhs.gov/surgeongeneral/priorities/workplace-well-being/index.html" TargetMode="External"/><Relationship Id="rId12" Type="http://schemas.openxmlformats.org/officeDocument/2006/relationships/hyperlink" Target="https://medlineplus.gov/exerciseandphysicalfitness.html" TargetMode="External"/><Relationship Id="rId17" Type="http://schemas.openxmlformats.org/officeDocument/2006/relationships/hyperlink" Target="https://medlineplus.gov/wellnessandlifestyl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lineplus.gov/socialfamilyissues.html" TargetMode="External"/><Relationship Id="rId20" Type="http://schemas.openxmlformats.org/officeDocument/2006/relationships/hyperlink" Target="https://www.nih.gov/health-information/social-wellness-toolk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lineplus.gov/environmentalhealth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dlineplus.gov/recip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dlineplus.gov/howtoimprovementalhealth.html" TargetMode="External"/><Relationship Id="rId19" Type="http://schemas.openxmlformats.org/officeDocument/2006/relationships/hyperlink" Target="https://www.nih.gov/health-information/emotional-wellness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lineplus.gov/mentalhealth.html" TargetMode="External"/><Relationship Id="rId14" Type="http://schemas.openxmlformats.org/officeDocument/2006/relationships/hyperlink" Target="https://medlineplus.gov/personalhealthissues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Mental Health in the Workplace Guided Handout</vt:lpstr>
      <vt:lpstr>    MedlinePlus: </vt:lpstr>
      <vt:lpstr>    Other mental health resources: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8</cp:revision>
  <cp:lastPrinted>2025-01-08T22:11:00Z</cp:lastPrinted>
  <dcterms:created xsi:type="dcterms:W3CDTF">2025-01-08T21:58:00Z</dcterms:created>
  <dcterms:modified xsi:type="dcterms:W3CDTF">2025-01-09T16:54:00Z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3b595e1457acda13b2647f80baed16d4b5f68027137d0fb1ce73f49844719fc0</vt:lpwstr>
  </property>
</Properties>
</file>