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B4246" w14:textId="6D1B3369" w:rsidR="007B6AA9" w:rsidRPr="00DD3DB2" w:rsidRDefault="0086578B" w:rsidP="00AE51EC">
      <w:pPr>
        <w:pStyle w:val="Heading1"/>
        <w:spacing w:before="120" w:after="240"/>
        <w:jc w:val="center"/>
        <w:rPr>
          <w:rFonts w:ascii="Aptos" w:hAnsi="Aptos"/>
          <w:b/>
          <w:bCs/>
          <w:color w:val="auto"/>
          <w:sz w:val="44"/>
          <w:szCs w:val="44"/>
        </w:rPr>
      </w:pPr>
      <w:r w:rsidRPr="00DD3DB2">
        <w:rPr>
          <w:rFonts w:ascii="Aptos" w:hAnsi="Aptos"/>
          <w:b/>
          <w:bCs/>
          <w:color w:val="auto"/>
          <w:sz w:val="44"/>
          <w:szCs w:val="44"/>
        </w:rPr>
        <w:t>ClinicalTrials.gov for Librarians</w:t>
      </w:r>
    </w:p>
    <w:p w14:paraId="2371704E" w14:textId="2C25F2B3" w:rsidR="007E54FE" w:rsidRPr="007E54FE" w:rsidRDefault="007E54FE" w:rsidP="007E54FE">
      <w:pPr>
        <w:pStyle w:val="Heading2"/>
        <w:spacing w:after="240"/>
        <w:rPr>
          <w:rFonts w:ascii="Aptos" w:hAnsi="Aptos"/>
          <w:b/>
          <w:bCs/>
          <w:color w:val="000000" w:themeColor="text1"/>
          <w:u w:val="single"/>
        </w:rPr>
      </w:pPr>
      <w:hyperlink r:id="rId7" w:history="1">
        <w:r>
          <w:rPr>
            <w:rStyle w:val="Hyperlink"/>
            <w:rFonts w:ascii="Aptos" w:hAnsi="Aptos"/>
            <w:b/>
            <w:bCs/>
            <w:color w:val="000000" w:themeColor="text1"/>
          </w:rPr>
          <w:t>ClinicalTrials.gov News and Updates</w:t>
        </w:r>
      </w:hyperlink>
    </w:p>
    <w:p w14:paraId="2DE322B1" w14:textId="49B442BF" w:rsidR="0086578B" w:rsidRPr="00461A73" w:rsidRDefault="0086578B" w:rsidP="007C3B5B">
      <w:pPr>
        <w:pStyle w:val="Heading2"/>
        <w:rPr>
          <w:rStyle w:val="Hyperlink"/>
          <w:rFonts w:ascii="Aptos" w:hAnsi="Aptos"/>
          <w:b/>
          <w:bCs/>
          <w:color w:val="000000" w:themeColor="text1"/>
        </w:rPr>
      </w:pPr>
      <w:hyperlink r:id="rId8" w:history="1">
        <w:r w:rsidRPr="00461A73">
          <w:rPr>
            <w:rStyle w:val="Hyperlink"/>
            <w:rFonts w:ascii="Aptos" w:hAnsi="Aptos"/>
            <w:b/>
            <w:bCs/>
            <w:color w:val="000000" w:themeColor="text1"/>
          </w:rPr>
          <w:t>ClinicalTrials.gov Glossary of Common Terms</w:t>
        </w:r>
      </w:hyperlink>
    </w:p>
    <w:p w14:paraId="7DB6A861" w14:textId="16B8C088" w:rsidR="0086578B" w:rsidRPr="00C6790D" w:rsidRDefault="0086578B" w:rsidP="00E72E0C">
      <w:pPr>
        <w:spacing w:after="0" w:line="240" w:lineRule="auto"/>
        <w:rPr>
          <w:rFonts w:cstheme="minorHAnsi"/>
        </w:rPr>
      </w:pPr>
      <w:r w:rsidRPr="00C6790D">
        <w:rPr>
          <w:rFonts w:cstheme="minorHAnsi"/>
          <w:shd w:val="clear" w:color="auto" w:fill="FFFFFF"/>
        </w:rPr>
        <w:t>This glossary will help you understand words and phrases frequently used on ClinicalTrials.gov. Many of these words are also used by clinical researchers and others in the same or a similar manner</w:t>
      </w:r>
      <w:r w:rsidR="00BD7A24" w:rsidRPr="00C6790D">
        <w:rPr>
          <w:rFonts w:cstheme="minorHAnsi"/>
          <w:shd w:val="clear" w:color="auto" w:fill="FFFFFF"/>
        </w:rPr>
        <w:t>, but these d</w:t>
      </w:r>
      <w:r w:rsidRPr="00C6790D">
        <w:rPr>
          <w:rFonts w:cstheme="minorHAnsi"/>
          <w:shd w:val="clear" w:color="auto" w:fill="FFFFFF"/>
        </w:rPr>
        <w:t>efinitions are provided to explain content on ClinicalTrials.gov only.</w:t>
      </w:r>
    </w:p>
    <w:p w14:paraId="11338A7F" w14:textId="77777777" w:rsidR="00E72E0C" w:rsidRPr="007B6AA9" w:rsidRDefault="00E72E0C" w:rsidP="00E72E0C">
      <w:pPr>
        <w:pStyle w:val="Heading2"/>
        <w:spacing w:before="0" w:line="240" w:lineRule="auto"/>
        <w:rPr>
          <w:sz w:val="22"/>
          <w:szCs w:val="22"/>
        </w:rPr>
      </w:pPr>
    </w:p>
    <w:p w14:paraId="0A676A56" w14:textId="23F55C37" w:rsidR="00703087" w:rsidRPr="00DE40FA" w:rsidRDefault="00C92024" w:rsidP="007C3B5B">
      <w:pPr>
        <w:pStyle w:val="Heading2"/>
        <w:rPr>
          <w:rStyle w:val="Hyperlink"/>
          <w:rFonts w:ascii="Aptos" w:hAnsi="Aptos"/>
          <w:b/>
          <w:bCs/>
          <w:color w:val="000000" w:themeColor="text1"/>
        </w:rPr>
      </w:pPr>
      <w:hyperlink r:id="rId9" w:anchor="a3" w:history="1">
        <w:r w:rsidRPr="00DE40FA">
          <w:rPr>
            <w:rStyle w:val="Hyperlink"/>
            <w:rFonts w:ascii="Aptos" w:hAnsi="Aptos"/>
            <w:b/>
            <w:bCs/>
            <w:color w:val="000000" w:themeColor="text1"/>
          </w:rPr>
          <w:t>ClinicalTrials.gov G</w:t>
        </w:r>
        <w:r w:rsidR="00703087" w:rsidRPr="00DE40FA">
          <w:rPr>
            <w:rStyle w:val="Hyperlink"/>
            <w:rFonts w:ascii="Aptos" w:hAnsi="Aptos"/>
            <w:b/>
            <w:bCs/>
            <w:color w:val="000000" w:themeColor="text1"/>
          </w:rPr>
          <w:t>uide to Searching for Clinical Studies</w:t>
        </w:r>
      </w:hyperlink>
    </w:p>
    <w:p w14:paraId="71E55927" w14:textId="21DA79CE" w:rsidR="00A723E1" w:rsidRPr="00A723E1" w:rsidRDefault="00A723E1" w:rsidP="00E72E0C">
      <w:pPr>
        <w:spacing w:after="0" w:line="240" w:lineRule="auto"/>
        <w:rPr>
          <w:rFonts w:cstheme="minorHAnsi"/>
        </w:rPr>
      </w:pPr>
      <w:r w:rsidRPr="00A723E1">
        <w:rPr>
          <w:rFonts w:cstheme="minorHAnsi"/>
        </w:rPr>
        <w:t xml:space="preserve">Review this information for step-by-step instructions on </w:t>
      </w:r>
      <w:r w:rsidR="00AB50BC">
        <w:rPr>
          <w:rFonts w:cstheme="minorHAnsi"/>
        </w:rPr>
        <w:t xml:space="preserve">how to </w:t>
      </w:r>
      <w:r w:rsidRPr="00A723E1">
        <w:rPr>
          <w:rFonts w:cstheme="minorHAnsi"/>
        </w:rPr>
        <w:t xml:space="preserve">conduct a </w:t>
      </w:r>
      <w:r w:rsidR="00AB50BC">
        <w:rPr>
          <w:rFonts w:cstheme="minorHAnsi"/>
        </w:rPr>
        <w:t xml:space="preserve">basic </w:t>
      </w:r>
      <w:r w:rsidRPr="00A723E1">
        <w:rPr>
          <w:rFonts w:cstheme="minorHAnsi"/>
        </w:rPr>
        <w:t xml:space="preserve">search for clinical studies, including how to narrow your search and apply search filters. </w:t>
      </w:r>
    </w:p>
    <w:p w14:paraId="33B1D493" w14:textId="77777777" w:rsidR="00E72E0C" w:rsidRPr="007B6AA9" w:rsidRDefault="00E72E0C" w:rsidP="00E72E0C">
      <w:pPr>
        <w:pStyle w:val="Heading1"/>
        <w:spacing w:before="0" w:line="240" w:lineRule="auto"/>
        <w:rPr>
          <w:sz w:val="22"/>
          <w:szCs w:val="22"/>
        </w:rPr>
      </w:pPr>
    </w:p>
    <w:p w14:paraId="63668766" w14:textId="0154F7C4" w:rsidR="0086578B" w:rsidRPr="00461A73" w:rsidRDefault="0086578B" w:rsidP="007C3B5B">
      <w:pPr>
        <w:pStyle w:val="Heading2"/>
        <w:rPr>
          <w:rStyle w:val="Hyperlink"/>
          <w:rFonts w:ascii="Aptos" w:hAnsi="Aptos"/>
          <w:b/>
          <w:bCs/>
          <w:color w:val="000000" w:themeColor="text1"/>
        </w:rPr>
      </w:pPr>
      <w:hyperlink r:id="rId10" w:history="1">
        <w:r w:rsidRPr="00461A73">
          <w:rPr>
            <w:rStyle w:val="Hyperlink"/>
            <w:rFonts w:ascii="Aptos" w:hAnsi="Aptos"/>
            <w:b/>
            <w:bCs/>
            <w:color w:val="000000" w:themeColor="text1"/>
          </w:rPr>
          <w:t>ClinicalTrials.gov How to Read a Study Record</w:t>
        </w:r>
      </w:hyperlink>
    </w:p>
    <w:p w14:paraId="6F653F20" w14:textId="491FAA9A" w:rsidR="0086578B" w:rsidRPr="00C6790D" w:rsidRDefault="006433CF" w:rsidP="00E72E0C">
      <w:pPr>
        <w:spacing w:after="0" w:line="240" w:lineRule="auto"/>
      </w:pPr>
      <w:r>
        <w:t xml:space="preserve">Learn how to read and </w:t>
      </w:r>
      <w:r w:rsidR="005F3A0E">
        <w:t>understand a study record in Clinical</w:t>
      </w:r>
      <w:r w:rsidR="007752BD">
        <w:t>T</w:t>
      </w:r>
      <w:r w:rsidR="005F3A0E">
        <w:t>rials.gov.</w:t>
      </w:r>
    </w:p>
    <w:p w14:paraId="2D6899EF" w14:textId="77777777" w:rsidR="00E72E0C" w:rsidRPr="007B6AA9" w:rsidRDefault="00E72E0C" w:rsidP="00E72E0C">
      <w:pPr>
        <w:pStyle w:val="Heading2"/>
        <w:spacing w:before="0" w:line="240" w:lineRule="auto"/>
        <w:rPr>
          <w:sz w:val="22"/>
          <w:szCs w:val="22"/>
        </w:rPr>
      </w:pPr>
    </w:p>
    <w:p w14:paraId="51BC3C5E" w14:textId="4834D1FC" w:rsidR="00550FA1" w:rsidRPr="00461A73" w:rsidRDefault="00550FA1" w:rsidP="00E72E0C">
      <w:pPr>
        <w:pStyle w:val="Heading2"/>
        <w:spacing w:before="0" w:line="240" w:lineRule="auto"/>
        <w:rPr>
          <w:rFonts w:ascii="Aptos" w:hAnsi="Aptos"/>
          <w:b/>
          <w:bCs/>
          <w:color w:val="000000" w:themeColor="text1"/>
        </w:rPr>
      </w:pPr>
      <w:hyperlink r:id="rId11" w:history="1">
        <w:r w:rsidRPr="00461A73">
          <w:rPr>
            <w:rStyle w:val="Hyperlink"/>
            <w:rFonts w:ascii="Aptos" w:hAnsi="Aptos"/>
            <w:b/>
            <w:bCs/>
            <w:color w:val="000000" w:themeColor="text1"/>
          </w:rPr>
          <w:t>How to Download Study Records</w:t>
        </w:r>
      </w:hyperlink>
    </w:p>
    <w:p w14:paraId="283E270E" w14:textId="15FC3974" w:rsidR="00550FA1" w:rsidRPr="00550FA1" w:rsidRDefault="00550FA1" w:rsidP="00E72E0C">
      <w:pPr>
        <w:spacing w:after="0" w:line="240" w:lineRule="auto"/>
      </w:pPr>
      <w:r w:rsidRPr="00550FA1">
        <w:t>Learn how to download information about some or all of the studies shown in your search results, or the information from a single study.</w:t>
      </w:r>
    </w:p>
    <w:p w14:paraId="3C058FDA" w14:textId="77777777" w:rsidR="00E72E0C" w:rsidRPr="007B6AA9" w:rsidRDefault="00E72E0C" w:rsidP="00E72E0C">
      <w:pPr>
        <w:pStyle w:val="Heading1"/>
        <w:spacing w:before="0" w:line="240" w:lineRule="auto"/>
        <w:rPr>
          <w:sz w:val="22"/>
          <w:szCs w:val="22"/>
        </w:rPr>
      </w:pPr>
    </w:p>
    <w:p w14:paraId="7B3E8169" w14:textId="35278F61" w:rsidR="000D015D" w:rsidRPr="00461A73" w:rsidRDefault="000D015D" w:rsidP="000D015D">
      <w:pPr>
        <w:pStyle w:val="Heading2"/>
        <w:spacing w:before="0" w:line="240" w:lineRule="auto"/>
        <w:rPr>
          <w:rFonts w:ascii="Aptos" w:hAnsi="Aptos"/>
          <w:b/>
          <w:bCs/>
          <w:color w:val="000000" w:themeColor="text1"/>
        </w:rPr>
      </w:pPr>
      <w:hyperlink r:id="rId12" w:history="1">
        <w:r w:rsidRPr="00461A73">
          <w:rPr>
            <w:rStyle w:val="Hyperlink"/>
            <w:rFonts w:ascii="Aptos" w:hAnsi="Aptos"/>
            <w:b/>
            <w:bCs/>
            <w:color w:val="000000" w:themeColor="text1"/>
          </w:rPr>
          <w:t>ClinicalTrials.gov Demonstration Videos</w:t>
        </w:r>
      </w:hyperlink>
    </w:p>
    <w:p w14:paraId="27F78A83" w14:textId="77777777" w:rsidR="000D015D" w:rsidRDefault="000D015D" w:rsidP="000D015D">
      <w:pPr>
        <w:spacing w:after="0" w:line="240" w:lineRule="auto"/>
      </w:pPr>
      <w:r w:rsidRPr="00951BAB">
        <w:t>Fast Forward from ClinicalTrials.gov is a series of short videos provided to educate users on the modernized websites. They address common questions directly from users on how to accomplish tasks on the website and</w:t>
      </w:r>
      <w:r>
        <w:t xml:space="preserve"> in</w:t>
      </w:r>
      <w:r w:rsidRPr="00951BAB">
        <w:t xml:space="preserve"> PRS. </w:t>
      </w:r>
    </w:p>
    <w:p w14:paraId="4096EDBD" w14:textId="77777777" w:rsidR="000D015D" w:rsidRPr="007B6AA9" w:rsidRDefault="000D015D" w:rsidP="00E72E0C">
      <w:pPr>
        <w:pStyle w:val="Heading1"/>
        <w:spacing w:before="0" w:line="240" w:lineRule="auto"/>
        <w:rPr>
          <w:sz w:val="22"/>
          <w:szCs w:val="22"/>
        </w:rPr>
      </w:pPr>
    </w:p>
    <w:p w14:paraId="1A339E1F" w14:textId="0674635C" w:rsidR="0086578B" w:rsidRPr="00461A73" w:rsidRDefault="008E7313" w:rsidP="00D40C91">
      <w:pPr>
        <w:pStyle w:val="Heading2"/>
        <w:rPr>
          <w:rStyle w:val="Hyperlink"/>
          <w:rFonts w:ascii="Aptos" w:hAnsi="Aptos"/>
          <w:b/>
          <w:bCs/>
          <w:color w:val="000000" w:themeColor="text1"/>
        </w:rPr>
      </w:pPr>
      <w:hyperlink r:id="rId13" w:history="1">
        <w:r>
          <w:rPr>
            <w:rStyle w:val="Hyperlink"/>
            <w:rFonts w:ascii="Aptos" w:hAnsi="Aptos"/>
            <w:b/>
            <w:bCs/>
            <w:color w:val="000000" w:themeColor="text1"/>
          </w:rPr>
          <w:t>Frequently Asked Questions about the ClinicalTrials.gov Policy</w:t>
        </w:r>
      </w:hyperlink>
    </w:p>
    <w:p w14:paraId="7211D6CF" w14:textId="64F73945" w:rsidR="00A92476" w:rsidRDefault="00A23EA1" w:rsidP="00E72E0C">
      <w:pPr>
        <w:spacing w:after="0" w:line="240" w:lineRule="auto"/>
      </w:pPr>
      <w:r w:rsidRPr="00C6790D">
        <w:t xml:space="preserve">Frequently Asked Questions on the </w:t>
      </w:r>
      <w:r w:rsidR="0086578B" w:rsidRPr="00C6790D">
        <w:t>Protocol Registration and Results System (PRS),</w:t>
      </w:r>
      <w:r w:rsidRPr="00C6790D">
        <w:t xml:space="preserve"> the Food and Drug Administration Amendments Act Section 801</w:t>
      </w:r>
      <w:r w:rsidR="0086578B" w:rsidRPr="00C6790D">
        <w:t xml:space="preserve"> </w:t>
      </w:r>
      <w:r w:rsidRPr="00C6790D">
        <w:t xml:space="preserve">(FDAAA 801), and the Final Rule for Clinical Trials Registration and </w:t>
      </w:r>
      <w:r w:rsidR="00480111" w:rsidRPr="00C6790D">
        <w:t>R</w:t>
      </w:r>
      <w:r w:rsidRPr="00C6790D">
        <w:t>esults Information Submission.</w:t>
      </w:r>
      <w:r w:rsidR="0086578B" w:rsidRPr="00C6790D">
        <w:t xml:space="preserve"> </w:t>
      </w:r>
    </w:p>
    <w:p w14:paraId="12A6697A" w14:textId="77777777" w:rsidR="00A40EC3" w:rsidRDefault="00A40EC3" w:rsidP="00E72E0C">
      <w:pPr>
        <w:spacing w:after="0" w:line="240" w:lineRule="auto"/>
      </w:pPr>
    </w:p>
    <w:p w14:paraId="57CD0BE6" w14:textId="77777777" w:rsidR="00A40EC3" w:rsidRPr="002177C5" w:rsidRDefault="00A40EC3" w:rsidP="00A40EC3">
      <w:pPr>
        <w:pStyle w:val="Heading2"/>
        <w:spacing w:before="0" w:line="240" w:lineRule="auto"/>
        <w:rPr>
          <w:sz w:val="24"/>
          <w:szCs w:val="24"/>
        </w:rPr>
      </w:pPr>
      <w:hyperlink r:id="rId14" w:history="1">
        <w:r w:rsidRPr="00461A73">
          <w:rPr>
            <w:rStyle w:val="Hyperlink"/>
            <w:rFonts w:ascii="Aptos" w:hAnsi="Aptos"/>
            <w:b/>
            <w:bCs/>
            <w:color w:val="000000" w:themeColor="text1"/>
          </w:rPr>
          <w:t>Clinical Trial Reporting Requirements</w:t>
        </w:r>
      </w:hyperlink>
      <w:r w:rsidRPr="00461A73">
        <w:rPr>
          <w:rFonts w:ascii="Aptos" w:hAnsi="Aptos"/>
          <w:b/>
          <w:bCs/>
          <w:color w:val="000000" w:themeColor="text1"/>
        </w:rPr>
        <w:br/>
      </w:r>
      <w:r w:rsidRPr="00A02B8D">
        <w:rPr>
          <w:rFonts w:asciiTheme="minorHAnsi" w:hAnsiTheme="minorHAnsi" w:cstheme="minorHAnsi"/>
          <w:color w:val="auto"/>
          <w:sz w:val="22"/>
          <w:szCs w:val="22"/>
        </w:rPr>
        <w:t>This page helps sponsors and investigators understand the key legal and policy requirements for clinical trial registration and results submission to ClinicalTrials.gov.</w:t>
      </w:r>
    </w:p>
    <w:p w14:paraId="2A39913B" w14:textId="77777777" w:rsidR="00B22555" w:rsidRPr="00E72E0C" w:rsidRDefault="00B22555" w:rsidP="00E72E0C">
      <w:pPr>
        <w:spacing w:after="0" w:line="240" w:lineRule="auto"/>
        <w:rPr>
          <w:rFonts w:asciiTheme="majorHAnsi" w:hAnsiTheme="majorHAnsi" w:cstheme="majorHAnsi"/>
        </w:rPr>
      </w:pPr>
    </w:p>
    <w:p w14:paraId="0AF1811B" w14:textId="13E66DDE" w:rsidR="00DC5FA9" w:rsidRPr="00461A73" w:rsidRDefault="00CF60C7" w:rsidP="00916A4B">
      <w:pPr>
        <w:pStyle w:val="Heading2"/>
        <w:rPr>
          <w:rFonts w:ascii="Aptos" w:hAnsi="Aptos"/>
          <w:b/>
          <w:bCs/>
          <w:color w:val="000000" w:themeColor="text1"/>
        </w:rPr>
      </w:pPr>
      <w:hyperlink r:id="rId15" w:history="1">
        <w:r w:rsidRPr="00461A73">
          <w:rPr>
            <w:rStyle w:val="Hyperlink"/>
            <w:rFonts w:ascii="Aptos" w:hAnsi="Aptos" w:cstheme="majorHAnsi"/>
            <w:b/>
            <w:bCs/>
            <w:color w:val="000000" w:themeColor="text1"/>
          </w:rPr>
          <w:t xml:space="preserve">ClinicalTrials.gov </w:t>
        </w:r>
        <w:r w:rsidR="00D444C5" w:rsidRPr="00461A73">
          <w:rPr>
            <w:rStyle w:val="Hyperlink"/>
            <w:rFonts w:ascii="Aptos" w:hAnsi="Aptos" w:cstheme="majorHAnsi"/>
            <w:b/>
            <w:bCs/>
            <w:color w:val="000000" w:themeColor="text1"/>
          </w:rPr>
          <w:t>Protocol Registration and Results System (PRS)</w:t>
        </w:r>
        <w:r w:rsidR="009F4966" w:rsidRPr="00461A73">
          <w:rPr>
            <w:rStyle w:val="Hyperlink"/>
            <w:rFonts w:ascii="Aptos" w:hAnsi="Aptos" w:cstheme="majorHAnsi"/>
            <w:b/>
            <w:bCs/>
            <w:color w:val="000000" w:themeColor="text1"/>
          </w:rPr>
          <w:t xml:space="preserve"> </w:t>
        </w:r>
      </w:hyperlink>
      <w:r w:rsidR="009F4966" w:rsidRPr="00461A73">
        <w:rPr>
          <w:rFonts w:ascii="Aptos" w:hAnsi="Aptos"/>
          <w:b/>
          <w:bCs/>
          <w:color w:val="000000" w:themeColor="text1"/>
        </w:rPr>
        <w:t xml:space="preserve"> </w:t>
      </w:r>
    </w:p>
    <w:p w14:paraId="40E95435" w14:textId="70E452D4" w:rsidR="00536CEB" w:rsidRDefault="00DF60FA" w:rsidP="000E4F4E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Access </w:t>
      </w:r>
      <w:r w:rsidR="00753687">
        <w:rPr>
          <w:rFonts w:cstheme="minorHAnsi"/>
        </w:rPr>
        <w:t>help</w:t>
      </w:r>
      <w:r>
        <w:rPr>
          <w:rFonts w:cstheme="minorHAnsi"/>
        </w:rPr>
        <w:t xml:space="preserve"> guides and </w:t>
      </w:r>
      <w:r w:rsidR="00753687">
        <w:rPr>
          <w:rFonts w:cstheme="minorHAnsi"/>
        </w:rPr>
        <w:t xml:space="preserve">interactive </w:t>
      </w:r>
      <w:r>
        <w:rPr>
          <w:rFonts w:cstheme="minorHAnsi"/>
        </w:rPr>
        <w:t xml:space="preserve">tutorials </w:t>
      </w:r>
      <w:r w:rsidR="00BF6C71">
        <w:rPr>
          <w:rFonts w:cstheme="minorHAnsi"/>
        </w:rPr>
        <w:t xml:space="preserve">to learn how to use </w:t>
      </w:r>
      <w:r w:rsidR="00753687">
        <w:rPr>
          <w:rFonts w:cstheme="minorHAnsi"/>
        </w:rPr>
        <w:t>PRS</w:t>
      </w:r>
      <w:r w:rsidR="00BF6C71">
        <w:rPr>
          <w:rFonts w:cstheme="minorHAnsi"/>
        </w:rPr>
        <w:t>.</w:t>
      </w:r>
    </w:p>
    <w:p w14:paraId="16155FC6" w14:textId="77777777" w:rsidR="00097792" w:rsidRDefault="00097792" w:rsidP="00097792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hyperlink r:id="rId16" w:history="1">
        <w:r w:rsidRPr="00097792">
          <w:rPr>
            <w:rStyle w:val="Hyperlink"/>
            <w:rFonts w:cstheme="minorHAnsi"/>
          </w:rPr>
          <w:t>PRS Help Resources </w:t>
        </w:r>
      </w:hyperlink>
    </w:p>
    <w:p w14:paraId="6DB3C915" w14:textId="25362E81" w:rsidR="00360925" w:rsidRPr="00097792" w:rsidRDefault="00360925" w:rsidP="00097792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hyperlink r:id="rId17" w:history="1">
        <w:r w:rsidRPr="00FF2CAD">
          <w:rPr>
            <w:rStyle w:val="Hyperlink"/>
          </w:rPr>
          <w:t>PRS Guided Tutorials</w:t>
        </w:r>
      </w:hyperlink>
    </w:p>
    <w:p w14:paraId="54C36C84" w14:textId="77777777" w:rsidR="00683A24" w:rsidRPr="00683A24" w:rsidRDefault="00683A24" w:rsidP="00683A24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hyperlink r:id="rId18" w:history="1">
        <w:r w:rsidRPr="00683A24">
          <w:rPr>
            <w:rStyle w:val="Hyperlink"/>
            <w:rFonts w:cstheme="minorHAnsi"/>
          </w:rPr>
          <w:t>Fast Forward from ClinicalTrials.gov: Videos on the PRS </w:t>
        </w:r>
      </w:hyperlink>
    </w:p>
    <w:p w14:paraId="5958F0A6" w14:textId="77777777" w:rsidR="00BD093A" w:rsidRDefault="00BD093A" w:rsidP="00E72E0C">
      <w:pPr>
        <w:spacing w:after="0" w:line="240" w:lineRule="auto"/>
      </w:pPr>
    </w:p>
    <w:p w14:paraId="06907BAE" w14:textId="5156584A" w:rsidR="00860820" w:rsidRPr="00461A73" w:rsidRDefault="00F44C50" w:rsidP="000E4F4E">
      <w:pPr>
        <w:pStyle w:val="Heading2"/>
        <w:rPr>
          <w:rFonts w:ascii="Aptos" w:hAnsi="Aptos" w:cstheme="majorHAnsi"/>
          <w:b/>
          <w:bCs/>
          <w:color w:val="000000" w:themeColor="text1"/>
        </w:rPr>
      </w:pPr>
      <w:hyperlink r:id="rId19" w:history="1">
        <w:r>
          <w:rPr>
            <w:rStyle w:val="Hyperlink"/>
            <w:rFonts w:ascii="Aptos" w:hAnsi="Aptos" w:cstheme="majorHAnsi"/>
            <w:b/>
            <w:bCs/>
            <w:color w:val="000000" w:themeColor="text1"/>
          </w:rPr>
          <w:t>Learning Resources about ClinicalTrials.gov </w:t>
        </w:r>
      </w:hyperlink>
    </w:p>
    <w:p w14:paraId="50F730ED" w14:textId="5D75A77A" w:rsidR="007A2450" w:rsidRDefault="007E25EF" w:rsidP="00E72E0C">
      <w:pPr>
        <w:spacing w:after="0" w:line="240" w:lineRule="auto"/>
      </w:pPr>
      <w:r>
        <w:t xml:space="preserve">A collection of ClinicalTrials.gov training and outreach </w:t>
      </w:r>
      <w:r w:rsidR="00A51BD6">
        <w:t>resources from the NLM Learning Resources Database.</w:t>
      </w:r>
    </w:p>
    <w:p w14:paraId="5DF39808" w14:textId="10AC5E91" w:rsidR="004722AC" w:rsidRPr="00461A73" w:rsidRDefault="004722AC" w:rsidP="00A678DC">
      <w:pPr>
        <w:pStyle w:val="Heading2"/>
        <w:rPr>
          <w:rStyle w:val="Hyperlink"/>
          <w:rFonts w:ascii="Aptos" w:hAnsi="Aptos"/>
          <w:b/>
          <w:bCs/>
          <w:color w:val="000000" w:themeColor="text1"/>
        </w:rPr>
      </w:pPr>
      <w:hyperlink r:id="rId20" w:history="1">
        <w:r w:rsidRPr="00461A73">
          <w:rPr>
            <w:rStyle w:val="Hyperlink"/>
            <w:rFonts w:ascii="Aptos" w:hAnsi="Aptos"/>
            <w:b/>
            <w:bCs/>
            <w:color w:val="000000" w:themeColor="text1"/>
          </w:rPr>
          <w:t xml:space="preserve">NIH Clinical </w:t>
        </w:r>
        <w:r w:rsidR="00480111" w:rsidRPr="00461A73">
          <w:rPr>
            <w:rStyle w:val="Hyperlink"/>
            <w:rFonts w:ascii="Aptos" w:hAnsi="Aptos"/>
            <w:b/>
            <w:bCs/>
            <w:color w:val="000000" w:themeColor="text1"/>
          </w:rPr>
          <w:t xml:space="preserve">Research </w:t>
        </w:r>
        <w:r w:rsidRPr="00461A73">
          <w:rPr>
            <w:rStyle w:val="Hyperlink"/>
            <w:rFonts w:ascii="Aptos" w:hAnsi="Aptos"/>
            <w:b/>
            <w:bCs/>
            <w:color w:val="000000" w:themeColor="text1"/>
          </w:rPr>
          <w:t>Trials and You</w:t>
        </w:r>
      </w:hyperlink>
    </w:p>
    <w:p w14:paraId="59A4EEB1" w14:textId="6995CBF3" w:rsidR="004722AC" w:rsidRPr="00C6790D" w:rsidRDefault="004722AC" w:rsidP="000E4F4E">
      <w:pPr>
        <w:spacing w:after="0" w:line="240" w:lineRule="auto"/>
        <w:rPr>
          <w:shd w:val="clear" w:color="auto" w:fill="FFFFFF"/>
        </w:rPr>
      </w:pPr>
      <w:r w:rsidRPr="00C6790D">
        <w:rPr>
          <w:shd w:val="clear" w:color="auto" w:fill="FFFFFF"/>
        </w:rPr>
        <w:t xml:space="preserve">The NIH Clinical </w:t>
      </w:r>
      <w:r w:rsidR="00480111" w:rsidRPr="00C6790D">
        <w:rPr>
          <w:shd w:val="clear" w:color="auto" w:fill="FFFFFF"/>
        </w:rPr>
        <w:t xml:space="preserve">Research </w:t>
      </w:r>
      <w:r w:rsidRPr="00C6790D">
        <w:rPr>
          <w:shd w:val="clear" w:color="auto" w:fill="FFFFFF"/>
        </w:rPr>
        <w:t xml:space="preserve">Trials and You website is a resource for people who want to learn more about clinical trials. </w:t>
      </w:r>
      <w:r w:rsidR="00BD7A24" w:rsidRPr="00C6790D">
        <w:rPr>
          <w:shd w:val="clear" w:color="auto" w:fill="FFFFFF"/>
        </w:rPr>
        <w:t>Y</w:t>
      </w:r>
      <w:r w:rsidRPr="00C6790D">
        <w:rPr>
          <w:shd w:val="clear" w:color="auto" w:fill="FFFFFF"/>
        </w:rPr>
        <w:t>ou can read answers to common questions about taking part in a clinical trial. </w:t>
      </w:r>
    </w:p>
    <w:p w14:paraId="6B155717" w14:textId="77777777" w:rsidR="007752BD" w:rsidRPr="00CA064F" w:rsidRDefault="007752BD" w:rsidP="008D18D9">
      <w:pPr>
        <w:pStyle w:val="Heading2"/>
        <w:spacing w:before="0" w:line="240" w:lineRule="auto"/>
        <w:rPr>
          <w:sz w:val="22"/>
          <w:szCs w:val="22"/>
        </w:rPr>
      </w:pPr>
    </w:p>
    <w:p w14:paraId="7F692EA0" w14:textId="0F6E952C" w:rsidR="00BD093A" w:rsidRPr="00461A73" w:rsidRDefault="00B5273B" w:rsidP="00A678DC">
      <w:pPr>
        <w:pStyle w:val="Heading2"/>
        <w:rPr>
          <w:rFonts w:ascii="Aptos" w:hAnsi="Aptos" w:cstheme="minorHAnsi"/>
          <w:b/>
          <w:bCs/>
          <w:color w:val="000000" w:themeColor="text1"/>
        </w:rPr>
      </w:pPr>
      <w:hyperlink r:id="rId21" w:history="1">
        <w:r w:rsidRPr="00461A73">
          <w:rPr>
            <w:rStyle w:val="Hyperlink"/>
            <w:rFonts w:ascii="Aptos" w:hAnsi="Aptos" w:cstheme="majorHAnsi"/>
            <w:b/>
            <w:bCs/>
            <w:color w:val="000000" w:themeColor="text1"/>
          </w:rPr>
          <w:t>Systematic Reviews: NLM Products To Support Your Search</w:t>
        </w:r>
      </w:hyperlink>
      <w:r w:rsidR="00E6673B" w:rsidRPr="00461A73">
        <w:rPr>
          <w:rFonts w:ascii="Aptos" w:hAnsi="Aptos" w:cstheme="majorHAnsi"/>
          <w:b/>
          <w:bCs/>
          <w:color w:val="000000" w:themeColor="text1"/>
        </w:rPr>
        <w:t xml:space="preserve"> </w:t>
      </w:r>
    </w:p>
    <w:p w14:paraId="57FD438E" w14:textId="0E94C333" w:rsidR="00B5273B" w:rsidRPr="000734D5" w:rsidRDefault="000C346A" w:rsidP="000734D5">
      <w:pPr>
        <w:spacing w:after="320" w:line="240" w:lineRule="auto"/>
        <w:rPr>
          <w:shd w:val="clear" w:color="auto" w:fill="FFFFFF"/>
        </w:rPr>
      </w:pPr>
      <w:r w:rsidRPr="004B27B8">
        <w:rPr>
          <w:shd w:val="clear" w:color="auto" w:fill="FFFFFF"/>
        </w:rPr>
        <w:t xml:space="preserve">Guide from NNLM </w:t>
      </w:r>
      <w:r w:rsidR="004B27B8" w:rsidRPr="004B27B8">
        <w:rPr>
          <w:rFonts w:ascii="Calibri" w:hAnsi="Calibri" w:cs="Calibri"/>
        </w:rPr>
        <w:t>pull</w:t>
      </w:r>
      <w:r w:rsidR="004B27B8">
        <w:rPr>
          <w:rFonts w:ascii="Calibri" w:hAnsi="Calibri" w:cs="Calibri"/>
        </w:rPr>
        <w:t>ing</w:t>
      </w:r>
      <w:r w:rsidR="004B27B8" w:rsidRPr="004B27B8">
        <w:rPr>
          <w:rFonts w:ascii="Calibri" w:hAnsi="Calibri" w:cs="Calibri"/>
        </w:rPr>
        <w:t xml:space="preserve"> together key information for constructing, performing, and documenting complex search queries </w:t>
      </w:r>
      <w:r w:rsidR="00353494">
        <w:rPr>
          <w:rFonts w:ascii="Calibri" w:hAnsi="Calibri" w:cs="Calibri"/>
        </w:rPr>
        <w:t xml:space="preserve">in ClinicalTrials.gov </w:t>
      </w:r>
      <w:r w:rsidR="004B27B8" w:rsidRPr="004B27B8">
        <w:rPr>
          <w:rFonts w:ascii="Calibri" w:hAnsi="Calibri" w:cs="Calibri"/>
        </w:rPr>
        <w:t>when conducting a systematic review.</w:t>
      </w:r>
    </w:p>
    <w:p w14:paraId="353E259C" w14:textId="00FD3E0B" w:rsidR="000E4F4E" w:rsidRPr="00DE40FA" w:rsidRDefault="000E4F4E" w:rsidP="0093271F">
      <w:pPr>
        <w:pStyle w:val="Heading2"/>
        <w:rPr>
          <w:rFonts w:ascii="Aptos" w:hAnsi="Aptos"/>
          <w:b/>
          <w:bCs/>
          <w:color w:val="000000" w:themeColor="text1"/>
          <w:sz w:val="40"/>
          <w:szCs w:val="40"/>
        </w:rPr>
      </w:pPr>
      <w:r w:rsidRPr="00DE40FA">
        <w:rPr>
          <w:rFonts w:ascii="Aptos" w:hAnsi="Aptos"/>
          <w:b/>
          <w:bCs/>
          <w:color w:val="000000" w:themeColor="text1"/>
          <w:sz w:val="40"/>
          <w:szCs w:val="40"/>
        </w:rPr>
        <w:t>Search Tip</w:t>
      </w:r>
    </w:p>
    <w:p w14:paraId="118C6B59" w14:textId="22347058" w:rsidR="00AE55F8" w:rsidRPr="00411EEB" w:rsidRDefault="00AE55F8" w:rsidP="00411EEB">
      <w:pPr>
        <w:rPr>
          <w:rFonts w:ascii="Calibri" w:hAnsi="Calibri"/>
        </w:rPr>
      </w:pPr>
      <w:r w:rsidRPr="00F22842">
        <w:rPr>
          <w:rFonts w:ascii="Aptos" w:hAnsi="Aptos"/>
          <w:b/>
          <w:bCs/>
          <w:color w:val="000000" w:themeColor="text1"/>
          <w:sz w:val="26"/>
          <w:szCs w:val="26"/>
        </w:rPr>
        <w:t>Search Ti</w:t>
      </w:r>
      <w:r w:rsidR="00393F0F">
        <w:rPr>
          <w:rFonts w:ascii="Aptos" w:hAnsi="Aptos"/>
          <w:b/>
          <w:bCs/>
          <w:color w:val="000000" w:themeColor="text1"/>
          <w:sz w:val="26"/>
          <w:szCs w:val="26"/>
        </w:rPr>
        <w:t>p</w:t>
      </w:r>
      <w:r w:rsidRPr="00F22842">
        <w:rPr>
          <w:rFonts w:ascii="Aptos" w:hAnsi="Aptos"/>
          <w:b/>
          <w:bCs/>
          <w:color w:val="000000" w:themeColor="text1"/>
          <w:sz w:val="26"/>
          <w:szCs w:val="26"/>
        </w:rPr>
        <w:t>:</w:t>
      </w:r>
      <w:r w:rsidRPr="00411EEB">
        <w:rPr>
          <w:rFonts w:ascii="Aptos" w:hAnsi="Aptos"/>
          <w:color w:val="000000" w:themeColor="text1"/>
          <w:sz w:val="26"/>
          <w:szCs w:val="26"/>
        </w:rPr>
        <w:t xml:space="preserve"> Limit PubMed to </w:t>
      </w:r>
      <w:r w:rsidR="00F22842">
        <w:rPr>
          <w:rFonts w:ascii="Aptos" w:hAnsi="Aptos"/>
          <w:color w:val="000000" w:themeColor="text1"/>
          <w:sz w:val="26"/>
          <w:szCs w:val="26"/>
        </w:rPr>
        <w:t>r</w:t>
      </w:r>
      <w:r w:rsidRPr="00411EEB">
        <w:rPr>
          <w:rFonts w:ascii="Aptos" w:hAnsi="Aptos"/>
          <w:color w:val="000000" w:themeColor="text1"/>
          <w:sz w:val="26"/>
          <w:szCs w:val="26"/>
        </w:rPr>
        <w:t xml:space="preserve">esults with ClinicalTrials.gov </w:t>
      </w:r>
      <w:r w:rsidR="00F22842">
        <w:rPr>
          <w:rFonts w:ascii="Aptos" w:hAnsi="Aptos"/>
          <w:color w:val="000000" w:themeColor="text1"/>
          <w:sz w:val="26"/>
          <w:szCs w:val="26"/>
        </w:rPr>
        <w:t>d</w:t>
      </w:r>
      <w:r w:rsidRPr="00411EEB">
        <w:rPr>
          <w:rFonts w:ascii="Aptos" w:hAnsi="Aptos"/>
          <w:color w:val="000000" w:themeColor="text1"/>
          <w:sz w:val="26"/>
          <w:szCs w:val="26"/>
        </w:rPr>
        <w:t>ata</w:t>
      </w:r>
    </w:p>
    <w:p w14:paraId="5A7455EE" w14:textId="5C96FBC0" w:rsidR="00AE55F8" w:rsidRPr="00C6790D" w:rsidRDefault="00AE55F8" w:rsidP="008D18D9">
      <w:pPr>
        <w:pStyle w:val="ListParagraph"/>
        <w:numPr>
          <w:ilvl w:val="0"/>
          <w:numId w:val="4"/>
        </w:numPr>
      </w:pPr>
      <w:r w:rsidRPr="00C6790D">
        <w:t xml:space="preserve">Use the Secondary Source ID Field tag: </w:t>
      </w:r>
      <w:r w:rsidRPr="00C6790D">
        <w:rPr>
          <w:b/>
          <w:bCs/>
        </w:rPr>
        <w:t>clinicaltrials.gov [si]</w:t>
      </w:r>
    </w:p>
    <w:p w14:paraId="755AD532" w14:textId="4D411BAA" w:rsidR="007578D5" w:rsidRPr="000E4F4E" w:rsidRDefault="00AE55F8" w:rsidP="000E4F4E">
      <w:pPr>
        <w:pStyle w:val="ListParagraph"/>
        <w:numPr>
          <w:ilvl w:val="0"/>
          <w:numId w:val="4"/>
        </w:numPr>
        <w:spacing w:after="240"/>
      </w:pPr>
      <w:r w:rsidRPr="00C6790D">
        <w:t xml:space="preserve">Class example: </w:t>
      </w:r>
      <w:r w:rsidRPr="00C6790D">
        <w:rPr>
          <w:b/>
          <w:bCs/>
        </w:rPr>
        <w:t>clinicaltrials.gov [si] vertigo</w:t>
      </w:r>
    </w:p>
    <w:p w14:paraId="24FC493B" w14:textId="709092C0" w:rsidR="006E2ED9" w:rsidRPr="00321F20" w:rsidRDefault="006E2ED9" w:rsidP="008D18D9">
      <w:pPr>
        <w:pStyle w:val="Heading2"/>
        <w:spacing w:before="0" w:line="240" w:lineRule="auto"/>
        <w:rPr>
          <w:rFonts w:ascii="Aptos" w:hAnsi="Aptos"/>
          <w:b/>
          <w:bCs/>
          <w:color w:val="000000" w:themeColor="text1"/>
          <w:sz w:val="40"/>
          <w:szCs w:val="40"/>
        </w:rPr>
      </w:pPr>
      <w:r w:rsidRPr="00321F20">
        <w:rPr>
          <w:rFonts w:ascii="Aptos" w:hAnsi="Aptos"/>
          <w:b/>
          <w:bCs/>
          <w:color w:val="000000" w:themeColor="text1"/>
          <w:sz w:val="40"/>
          <w:szCs w:val="40"/>
        </w:rPr>
        <w:t xml:space="preserve">Class </w:t>
      </w:r>
      <w:r w:rsidR="002A68FE" w:rsidRPr="00321F20">
        <w:rPr>
          <w:rFonts w:ascii="Aptos" w:hAnsi="Aptos"/>
          <w:b/>
          <w:bCs/>
          <w:color w:val="000000" w:themeColor="text1"/>
          <w:sz w:val="40"/>
          <w:szCs w:val="40"/>
        </w:rPr>
        <w:t>E</w:t>
      </w:r>
      <w:r w:rsidRPr="00321F20">
        <w:rPr>
          <w:rFonts w:ascii="Aptos" w:hAnsi="Aptos"/>
          <w:b/>
          <w:bCs/>
          <w:color w:val="000000" w:themeColor="text1"/>
          <w:sz w:val="40"/>
          <w:szCs w:val="40"/>
        </w:rPr>
        <w:t xml:space="preserve">xercise: Research </w:t>
      </w:r>
      <w:r w:rsidR="00D713FA" w:rsidRPr="00321F20">
        <w:rPr>
          <w:rFonts w:ascii="Aptos" w:hAnsi="Aptos"/>
          <w:b/>
          <w:bCs/>
          <w:color w:val="000000" w:themeColor="text1"/>
          <w:sz w:val="40"/>
          <w:szCs w:val="40"/>
        </w:rPr>
        <w:t>C</w:t>
      </w:r>
      <w:r w:rsidRPr="00321F20">
        <w:rPr>
          <w:rFonts w:ascii="Aptos" w:hAnsi="Aptos"/>
          <w:b/>
          <w:bCs/>
          <w:color w:val="000000" w:themeColor="text1"/>
          <w:sz w:val="40"/>
          <w:szCs w:val="40"/>
        </w:rPr>
        <w:t xml:space="preserve">ase </w:t>
      </w:r>
      <w:r w:rsidR="00D713FA" w:rsidRPr="00321F20">
        <w:rPr>
          <w:rFonts w:ascii="Aptos" w:hAnsi="Aptos"/>
          <w:b/>
          <w:bCs/>
          <w:color w:val="000000" w:themeColor="text1"/>
          <w:sz w:val="40"/>
          <w:szCs w:val="40"/>
        </w:rPr>
        <w:t>S</w:t>
      </w:r>
      <w:r w:rsidRPr="00321F20">
        <w:rPr>
          <w:rFonts w:ascii="Aptos" w:hAnsi="Aptos"/>
          <w:b/>
          <w:bCs/>
          <w:color w:val="000000" w:themeColor="text1"/>
          <w:sz w:val="40"/>
          <w:szCs w:val="40"/>
        </w:rPr>
        <w:t>cenario</w:t>
      </w:r>
    </w:p>
    <w:p w14:paraId="36F23EB0" w14:textId="77777777" w:rsidR="007573ED" w:rsidRPr="006878B7" w:rsidRDefault="007573ED" w:rsidP="007573ED">
      <w:pPr>
        <w:pStyle w:val="Heading2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6878B7">
        <w:rPr>
          <w:rFonts w:asciiTheme="minorHAnsi" w:hAnsiTheme="minorHAnsi" w:cstheme="minorHAnsi"/>
          <w:color w:val="auto"/>
          <w:sz w:val="22"/>
          <w:szCs w:val="22"/>
        </w:rPr>
        <w:t xml:space="preserve">A trauma center is interested in designing a study examining the use of virtual reality (VR) with adult burn patients during wound dressing changes. </w:t>
      </w:r>
    </w:p>
    <w:p w14:paraId="065BB2AB" w14:textId="77777777" w:rsidR="007573ED" w:rsidRPr="006878B7" w:rsidRDefault="007573ED" w:rsidP="007573ED">
      <w:pPr>
        <w:pStyle w:val="Heading2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6878B7">
        <w:rPr>
          <w:rFonts w:asciiTheme="minorHAnsi" w:hAnsiTheme="minorHAnsi" w:cstheme="minorHAnsi"/>
          <w:color w:val="auto"/>
          <w:sz w:val="22"/>
          <w:szCs w:val="22"/>
        </w:rPr>
        <w:t> </w:t>
      </w:r>
    </w:p>
    <w:p w14:paraId="06E1FD9A" w14:textId="77777777" w:rsidR="007573ED" w:rsidRPr="006878B7" w:rsidRDefault="007573ED" w:rsidP="007573ED">
      <w:pPr>
        <w:pStyle w:val="Heading2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6878B7">
        <w:rPr>
          <w:rFonts w:asciiTheme="minorHAnsi" w:hAnsiTheme="minorHAnsi" w:cstheme="minorHAnsi"/>
          <w:color w:val="auto"/>
          <w:sz w:val="22"/>
          <w:szCs w:val="22"/>
        </w:rPr>
        <w:t xml:space="preserve">The research team recalls hearing about a couple of studies that utilized VR but doesn’t know if the studies looked at reduction in pain, anxiety, medication, or some combination. </w:t>
      </w:r>
    </w:p>
    <w:p w14:paraId="26CAA841" w14:textId="77777777" w:rsidR="007573ED" w:rsidRPr="006878B7" w:rsidRDefault="007573ED" w:rsidP="007573ED">
      <w:pPr>
        <w:pStyle w:val="Heading2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6878B7">
        <w:rPr>
          <w:rFonts w:asciiTheme="minorHAnsi" w:hAnsiTheme="minorHAnsi" w:cstheme="minorHAnsi"/>
          <w:color w:val="auto"/>
          <w:sz w:val="22"/>
          <w:szCs w:val="22"/>
        </w:rPr>
        <w:t> </w:t>
      </w:r>
    </w:p>
    <w:p w14:paraId="47A59F01" w14:textId="77777777" w:rsidR="007573ED" w:rsidRDefault="007573ED" w:rsidP="007573ED">
      <w:pPr>
        <w:pStyle w:val="Heading2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6878B7">
        <w:rPr>
          <w:rFonts w:asciiTheme="minorHAnsi" w:hAnsiTheme="minorHAnsi" w:cstheme="minorHAnsi"/>
          <w:color w:val="auto"/>
          <w:sz w:val="22"/>
          <w:szCs w:val="22"/>
        </w:rPr>
        <w:t xml:space="preserve">The team wants to know what similar research has been completed or is currently being conducted.  </w:t>
      </w:r>
    </w:p>
    <w:p w14:paraId="37D1B797" w14:textId="77777777" w:rsidR="007573ED" w:rsidRDefault="007573ED" w:rsidP="007573ED">
      <w:pPr>
        <w:spacing w:after="0"/>
      </w:pPr>
    </w:p>
    <w:p w14:paraId="037CE79D" w14:textId="77777777" w:rsidR="007573ED" w:rsidRDefault="007573ED" w:rsidP="007573ED">
      <w:pPr>
        <w:spacing w:after="0"/>
      </w:pPr>
      <w:r>
        <w:t>S</w:t>
      </w:r>
      <w:r w:rsidRPr="00CF59DD">
        <w:t xml:space="preserve">earch </w:t>
      </w:r>
      <w:r>
        <w:t xml:space="preserve">ClinicalTrials.gov for studies that might </w:t>
      </w:r>
      <w:r w:rsidRPr="00CF59DD">
        <w:t xml:space="preserve">be helpful to scenario team. </w:t>
      </w:r>
      <w:r>
        <w:t xml:space="preserve">Review the details of individual study protocols. Note any trials that were started but terminated before completion – why? </w:t>
      </w:r>
    </w:p>
    <w:p w14:paraId="69CE17A6" w14:textId="77777777" w:rsidR="007573ED" w:rsidRDefault="007573ED" w:rsidP="007573ED">
      <w:pPr>
        <w:spacing w:after="0"/>
      </w:pPr>
    </w:p>
    <w:p w14:paraId="2781BB11" w14:textId="094F581F" w:rsidR="007573ED" w:rsidRDefault="007573ED" w:rsidP="007573ED">
      <w:pPr>
        <w:spacing w:after="0"/>
      </w:pPr>
      <w:r>
        <w:t>T</w:t>
      </w:r>
      <w:r w:rsidRPr="00CF59DD">
        <w:t>here is no</w:t>
      </w:r>
      <w:r>
        <w:t xml:space="preserve"> single “right” way to </w:t>
      </w:r>
      <w:r w:rsidRPr="00CF59DD">
        <w:t>do this search</w:t>
      </w:r>
      <w:r>
        <w:t>. Experiment</w:t>
      </w:r>
      <w:r w:rsidRPr="00CF59DD">
        <w:t xml:space="preserve"> with </w:t>
      </w:r>
      <w:r>
        <w:t xml:space="preserve">different </w:t>
      </w:r>
      <w:r w:rsidRPr="00CF59DD">
        <w:t xml:space="preserve">entry terms and filters </w:t>
      </w:r>
      <w:r>
        <w:t xml:space="preserve">to see how they affect your </w:t>
      </w:r>
      <w:r w:rsidRPr="00CF59DD">
        <w:t xml:space="preserve">results. </w:t>
      </w:r>
    </w:p>
    <w:p w14:paraId="3901A010" w14:textId="77777777" w:rsidR="00751897" w:rsidRDefault="00751897" w:rsidP="007573ED">
      <w:pPr>
        <w:spacing w:after="0"/>
      </w:pPr>
    </w:p>
    <w:p w14:paraId="0233198A" w14:textId="77777777" w:rsidR="00751897" w:rsidRPr="00CA6DA6" w:rsidRDefault="00751897" w:rsidP="00751897">
      <w:pPr>
        <w:rPr>
          <w:b/>
          <w:bCs/>
          <w:sz w:val="24"/>
          <w:szCs w:val="24"/>
        </w:rPr>
      </w:pPr>
      <w:r w:rsidRPr="00CA6DA6">
        <w:rPr>
          <w:b/>
          <w:bCs/>
          <w:sz w:val="24"/>
          <w:szCs w:val="24"/>
        </w:rPr>
        <w:t xml:space="preserve">This course has been approved for 1.5 hours of Medical Library Association Continuing Education and fulfills the following </w:t>
      </w:r>
      <w:r w:rsidRPr="00CA6DA6">
        <w:rPr>
          <w:b/>
          <w:bCs/>
          <w:sz w:val="24"/>
          <w:szCs w:val="24"/>
          <w:u w:val="single"/>
        </w:rPr>
        <w:t>Consumer Health Information Specialization</w:t>
      </w:r>
      <w:r w:rsidRPr="00CA6DA6">
        <w:rPr>
          <w:b/>
          <w:bCs/>
          <w:sz w:val="24"/>
          <w:szCs w:val="24"/>
        </w:rPr>
        <w:t xml:space="preserve"> (CHIS) Competencies: </w:t>
      </w:r>
    </w:p>
    <w:p w14:paraId="09A20660" w14:textId="77777777" w:rsidR="00751897" w:rsidRPr="00751897" w:rsidRDefault="00751897" w:rsidP="00751897">
      <w:pPr>
        <w:numPr>
          <w:ilvl w:val="0"/>
          <w:numId w:val="8"/>
        </w:numPr>
        <w:spacing w:after="0"/>
      </w:pPr>
      <w:r w:rsidRPr="00751897">
        <w:t>C1 Know the Community</w:t>
      </w:r>
    </w:p>
    <w:p w14:paraId="27DB4121" w14:textId="77777777" w:rsidR="00751897" w:rsidRPr="00751897" w:rsidRDefault="00751897" w:rsidP="00751897">
      <w:pPr>
        <w:numPr>
          <w:ilvl w:val="0"/>
          <w:numId w:val="8"/>
        </w:numPr>
        <w:spacing w:after="0"/>
      </w:pPr>
      <w:r w:rsidRPr="00751897">
        <w:t>C2 Know the Health Consumer</w:t>
      </w:r>
    </w:p>
    <w:p w14:paraId="215E67EE" w14:textId="77777777" w:rsidR="00751897" w:rsidRPr="00751897" w:rsidRDefault="00751897" w:rsidP="00751897">
      <w:pPr>
        <w:numPr>
          <w:ilvl w:val="0"/>
          <w:numId w:val="8"/>
        </w:numPr>
        <w:spacing w:after="0"/>
      </w:pPr>
      <w:r w:rsidRPr="00751897">
        <w:t>C3 Knowledge of Subject Matter and Resources</w:t>
      </w:r>
    </w:p>
    <w:p w14:paraId="3DC5E03D" w14:textId="77777777" w:rsidR="00751897" w:rsidRPr="00751897" w:rsidRDefault="00751897" w:rsidP="00751897">
      <w:pPr>
        <w:numPr>
          <w:ilvl w:val="0"/>
          <w:numId w:val="8"/>
        </w:numPr>
        <w:spacing w:after="0"/>
      </w:pPr>
      <w:r w:rsidRPr="00751897">
        <w:t>C5 Communication, Reference, and Instruction</w:t>
      </w:r>
    </w:p>
    <w:p w14:paraId="6B3868A3" w14:textId="02F757F4" w:rsidR="00751897" w:rsidRPr="00751897" w:rsidRDefault="00751897" w:rsidP="00751897">
      <w:pPr>
        <w:numPr>
          <w:ilvl w:val="0"/>
          <w:numId w:val="8"/>
        </w:numPr>
        <w:spacing w:after="0"/>
      </w:pPr>
      <w:r w:rsidRPr="00751897">
        <w:t>C8 Ethical and Legal Issues</w:t>
      </w:r>
      <w:r>
        <w:t xml:space="preserve"> (Level 2)</w:t>
      </w:r>
    </w:p>
    <w:p w14:paraId="0784A5F3" w14:textId="77777777" w:rsidR="00751897" w:rsidRPr="007573ED" w:rsidRDefault="00751897" w:rsidP="007573ED">
      <w:pPr>
        <w:spacing w:after="0"/>
      </w:pPr>
    </w:p>
    <w:sectPr w:rsidR="00751897" w:rsidRPr="007573ED">
      <w:headerReference w:type="default" r:id="rId22"/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E57B0" w14:textId="77777777" w:rsidR="00140E8C" w:rsidRDefault="00140E8C" w:rsidP="0086578B">
      <w:pPr>
        <w:spacing w:after="0" w:line="240" w:lineRule="auto"/>
      </w:pPr>
      <w:r>
        <w:separator/>
      </w:r>
    </w:p>
  </w:endnote>
  <w:endnote w:type="continuationSeparator" w:id="0">
    <w:p w14:paraId="532D65D3" w14:textId="77777777" w:rsidR="00140E8C" w:rsidRDefault="00140E8C" w:rsidP="00865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22545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D42A5C" w14:textId="6A925506" w:rsidR="00F22723" w:rsidRPr="0086578B" w:rsidRDefault="00F22723" w:rsidP="00F22723">
        <w:pPr>
          <w:pStyle w:val="Footer"/>
          <w:rPr>
            <w:sz w:val="16"/>
            <w:szCs w:val="16"/>
          </w:rPr>
        </w:pPr>
        <w:r w:rsidRPr="007D6EA9">
          <w:rPr>
            <w:sz w:val="16"/>
            <w:szCs w:val="16"/>
          </w:rPr>
          <w:t>Funded by the National Library of Medicine. NNLM and Network of the National Library of Medicine are service marks of the US Department of Health and Human Services.</w:t>
        </w:r>
        <w:r>
          <w:rPr>
            <w:sz w:val="16"/>
            <w:szCs w:val="16"/>
          </w:rPr>
          <w:t xml:space="preserve"> Updated J</w:t>
        </w:r>
        <w:r w:rsidR="00225B7E">
          <w:rPr>
            <w:sz w:val="16"/>
            <w:szCs w:val="16"/>
          </w:rPr>
          <w:t>anuary 2026</w:t>
        </w:r>
        <w:r>
          <w:rPr>
            <w:sz w:val="16"/>
            <w:szCs w:val="16"/>
          </w:rPr>
          <w:t>.</w:t>
        </w:r>
      </w:p>
      <w:p w14:paraId="58A074E7" w14:textId="52BB716B" w:rsidR="00E301BD" w:rsidRDefault="00E301B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A3ABAF" w14:textId="1BC7BCBE" w:rsidR="0086578B" w:rsidRPr="0086578B" w:rsidRDefault="0086578B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B47CB" w14:textId="77777777" w:rsidR="00140E8C" w:rsidRDefault="00140E8C" w:rsidP="0086578B">
      <w:pPr>
        <w:spacing w:after="0" w:line="240" w:lineRule="auto"/>
      </w:pPr>
      <w:r>
        <w:separator/>
      </w:r>
    </w:p>
  </w:footnote>
  <w:footnote w:type="continuationSeparator" w:id="0">
    <w:p w14:paraId="0376A1EA" w14:textId="77777777" w:rsidR="00140E8C" w:rsidRDefault="00140E8C" w:rsidP="00865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A894D" w14:textId="40507009" w:rsidR="0086578B" w:rsidRDefault="005B13DF">
    <w:pPr>
      <w:pStyle w:val="Header"/>
    </w:pPr>
    <w:r>
      <w:rPr>
        <w:noProof/>
      </w:rPr>
      <w:drawing>
        <wp:inline distT="0" distB="0" distL="0" distR="0" wp14:anchorId="68E6E5CE" wp14:editId="7EBEBCA5">
          <wp:extent cx="5943600" cy="715645"/>
          <wp:effectExtent l="0" t="0" r="0" b="0"/>
          <wp:docPr id="2122780378" name="Picture 1" descr="Network of the National Library of Medicin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2780378" name="Picture 1" descr="Network of the National Library of Medicine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715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708DF"/>
    <w:multiLevelType w:val="multilevel"/>
    <w:tmpl w:val="15907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7E3BF3"/>
    <w:multiLevelType w:val="multilevel"/>
    <w:tmpl w:val="328A62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9F5374"/>
    <w:multiLevelType w:val="hybridMultilevel"/>
    <w:tmpl w:val="865E6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24090"/>
    <w:multiLevelType w:val="hybridMultilevel"/>
    <w:tmpl w:val="F21CD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97301"/>
    <w:multiLevelType w:val="hybridMultilevel"/>
    <w:tmpl w:val="5D8A0F74"/>
    <w:lvl w:ilvl="0" w:tplc="39B41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DAACC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E8C434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A2E4E5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0B8FF7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2C0659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1DE757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B788835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6EAEA06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 w15:restartNumberingAfterBreak="0">
    <w:nsid w:val="55BB1E06"/>
    <w:multiLevelType w:val="hybridMultilevel"/>
    <w:tmpl w:val="F6C47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964D3"/>
    <w:multiLevelType w:val="hybridMultilevel"/>
    <w:tmpl w:val="813E8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6265F"/>
    <w:multiLevelType w:val="multilevel"/>
    <w:tmpl w:val="71FAF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7626766">
    <w:abstractNumId w:val="2"/>
  </w:num>
  <w:num w:numId="2" w16cid:durableId="1230730883">
    <w:abstractNumId w:val="5"/>
  </w:num>
  <w:num w:numId="3" w16cid:durableId="217010065">
    <w:abstractNumId w:val="3"/>
  </w:num>
  <w:num w:numId="4" w16cid:durableId="1366901693">
    <w:abstractNumId w:val="6"/>
  </w:num>
  <w:num w:numId="5" w16cid:durableId="117186287">
    <w:abstractNumId w:val="4"/>
  </w:num>
  <w:num w:numId="6" w16cid:durableId="1845780283">
    <w:abstractNumId w:val="0"/>
  </w:num>
  <w:num w:numId="7" w16cid:durableId="1715545730">
    <w:abstractNumId w:val="1"/>
  </w:num>
  <w:num w:numId="8" w16cid:durableId="14695455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8B"/>
    <w:rsid w:val="00003C36"/>
    <w:rsid w:val="00025E20"/>
    <w:rsid w:val="00026828"/>
    <w:rsid w:val="00035F93"/>
    <w:rsid w:val="00040224"/>
    <w:rsid w:val="00063EBD"/>
    <w:rsid w:val="00066941"/>
    <w:rsid w:val="000734D5"/>
    <w:rsid w:val="000973D3"/>
    <w:rsid w:val="00097792"/>
    <w:rsid w:val="00097886"/>
    <w:rsid w:val="000C346A"/>
    <w:rsid w:val="000D015D"/>
    <w:rsid w:val="000E4F4E"/>
    <w:rsid w:val="00140E8C"/>
    <w:rsid w:val="00155673"/>
    <w:rsid w:val="00170032"/>
    <w:rsid w:val="0019144D"/>
    <w:rsid w:val="001A49C9"/>
    <w:rsid w:val="001D209F"/>
    <w:rsid w:val="001F37B4"/>
    <w:rsid w:val="00210F8A"/>
    <w:rsid w:val="002177C5"/>
    <w:rsid w:val="00225B7E"/>
    <w:rsid w:val="00236B33"/>
    <w:rsid w:val="00251FEF"/>
    <w:rsid w:val="0027423A"/>
    <w:rsid w:val="002857D9"/>
    <w:rsid w:val="00290B02"/>
    <w:rsid w:val="002A68FE"/>
    <w:rsid w:val="003043D8"/>
    <w:rsid w:val="00321F20"/>
    <w:rsid w:val="00325A01"/>
    <w:rsid w:val="00353494"/>
    <w:rsid w:val="00360925"/>
    <w:rsid w:val="00366271"/>
    <w:rsid w:val="00393F0F"/>
    <w:rsid w:val="003A2F28"/>
    <w:rsid w:val="003B174B"/>
    <w:rsid w:val="003D13E6"/>
    <w:rsid w:val="003F58BB"/>
    <w:rsid w:val="00411EEB"/>
    <w:rsid w:val="00433797"/>
    <w:rsid w:val="004404FC"/>
    <w:rsid w:val="00451A45"/>
    <w:rsid w:val="00461A73"/>
    <w:rsid w:val="004722AC"/>
    <w:rsid w:val="00480111"/>
    <w:rsid w:val="004B27B8"/>
    <w:rsid w:val="00533161"/>
    <w:rsid w:val="00536CEB"/>
    <w:rsid w:val="00550FA1"/>
    <w:rsid w:val="005937E9"/>
    <w:rsid w:val="005A5C23"/>
    <w:rsid w:val="005B13DF"/>
    <w:rsid w:val="005F3A0E"/>
    <w:rsid w:val="005F69F7"/>
    <w:rsid w:val="006324FF"/>
    <w:rsid w:val="006433CF"/>
    <w:rsid w:val="00664D81"/>
    <w:rsid w:val="0067532B"/>
    <w:rsid w:val="00677E8C"/>
    <w:rsid w:val="00683A24"/>
    <w:rsid w:val="006878B7"/>
    <w:rsid w:val="00692FA9"/>
    <w:rsid w:val="006D3AD5"/>
    <w:rsid w:val="006E2ED9"/>
    <w:rsid w:val="00703087"/>
    <w:rsid w:val="007167C9"/>
    <w:rsid w:val="007358C4"/>
    <w:rsid w:val="00745D8F"/>
    <w:rsid w:val="00751897"/>
    <w:rsid w:val="00753687"/>
    <w:rsid w:val="007573ED"/>
    <w:rsid w:val="007578D5"/>
    <w:rsid w:val="007643FB"/>
    <w:rsid w:val="007752BD"/>
    <w:rsid w:val="007A1729"/>
    <w:rsid w:val="007A2450"/>
    <w:rsid w:val="007B4F1D"/>
    <w:rsid w:val="007B6AA9"/>
    <w:rsid w:val="007C3B5B"/>
    <w:rsid w:val="007E25EF"/>
    <w:rsid w:val="007E54FE"/>
    <w:rsid w:val="007E67C7"/>
    <w:rsid w:val="00860820"/>
    <w:rsid w:val="0086578B"/>
    <w:rsid w:val="008D18D9"/>
    <w:rsid w:val="008D21B6"/>
    <w:rsid w:val="008E06D3"/>
    <w:rsid w:val="008E7313"/>
    <w:rsid w:val="00915D0C"/>
    <w:rsid w:val="00916A4B"/>
    <w:rsid w:val="00924779"/>
    <w:rsid w:val="00931D72"/>
    <w:rsid w:val="0093271F"/>
    <w:rsid w:val="00951BAB"/>
    <w:rsid w:val="00970184"/>
    <w:rsid w:val="009A0DA8"/>
    <w:rsid w:val="009A0EC3"/>
    <w:rsid w:val="009B4761"/>
    <w:rsid w:val="009C03B6"/>
    <w:rsid w:val="009F4966"/>
    <w:rsid w:val="00A02B8D"/>
    <w:rsid w:val="00A23EA1"/>
    <w:rsid w:val="00A40EC3"/>
    <w:rsid w:val="00A51BD6"/>
    <w:rsid w:val="00A61952"/>
    <w:rsid w:val="00A678DC"/>
    <w:rsid w:val="00A723E1"/>
    <w:rsid w:val="00A807A3"/>
    <w:rsid w:val="00A92476"/>
    <w:rsid w:val="00AB50BC"/>
    <w:rsid w:val="00AC59AD"/>
    <w:rsid w:val="00AD0C2B"/>
    <w:rsid w:val="00AD4D35"/>
    <w:rsid w:val="00AE2F53"/>
    <w:rsid w:val="00AE51EC"/>
    <w:rsid w:val="00AE55F8"/>
    <w:rsid w:val="00AF57DE"/>
    <w:rsid w:val="00B22555"/>
    <w:rsid w:val="00B5273B"/>
    <w:rsid w:val="00B724AF"/>
    <w:rsid w:val="00BC33A1"/>
    <w:rsid w:val="00BD093A"/>
    <w:rsid w:val="00BD7A24"/>
    <w:rsid w:val="00BF6C71"/>
    <w:rsid w:val="00C1515A"/>
    <w:rsid w:val="00C2166C"/>
    <w:rsid w:val="00C6790D"/>
    <w:rsid w:val="00C92024"/>
    <w:rsid w:val="00CA064F"/>
    <w:rsid w:val="00CF60C7"/>
    <w:rsid w:val="00D3400A"/>
    <w:rsid w:val="00D40C91"/>
    <w:rsid w:val="00D4273B"/>
    <w:rsid w:val="00D42CBC"/>
    <w:rsid w:val="00D444C5"/>
    <w:rsid w:val="00D713FA"/>
    <w:rsid w:val="00D833E1"/>
    <w:rsid w:val="00DA0EE8"/>
    <w:rsid w:val="00DB1353"/>
    <w:rsid w:val="00DC5FA9"/>
    <w:rsid w:val="00DD3DB2"/>
    <w:rsid w:val="00DE40FA"/>
    <w:rsid w:val="00DE4620"/>
    <w:rsid w:val="00DF5B38"/>
    <w:rsid w:val="00DF60FA"/>
    <w:rsid w:val="00E301BD"/>
    <w:rsid w:val="00E64FCA"/>
    <w:rsid w:val="00E6673B"/>
    <w:rsid w:val="00E72E0C"/>
    <w:rsid w:val="00E734E1"/>
    <w:rsid w:val="00E834D4"/>
    <w:rsid w:val="00F1567E"/>
    <w:rsid w:val="00F22723"/>
    <w:rsid w:val="00F22842"/>
    <w:rsid w:val="00F429A8"/>
    <w:rsid w:val="00F446F7"/>
    <w:rsid w:val="00F44C50"/>
    <w:rsid w:val="00F662AD"/>
    <w:rsid w:val="00F77774"/>
    <w:rsid w:val="00F80ED1"/>
    <w:rsid w:val="00FC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B82D1F"/>
  <w15:chartTrackingRefBased/>
  <w15:docId w15:val="{398787AD-B861-4ED0-B301-AD38F2B2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57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7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27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5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78B"/>
  </w:style>
  <w:style w:type="paragraph" w:styleId="Footer">
    <w:name w:val="footer"/>
    <w:basedOn w:val="Normal"/>
    <w:link w:val="FooterChar"/>
    <w:uiPriority w:val="99"/>
    <w:unhideWhenUsed/>
    <w:rsid w:val="00865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78B"/>
  </w:style>
  <w:style w:type="paragraph" w:styleId="Title">
    <w:name w:val="Title"/>
    <w:basedOn w:val="Normal"/>
    <w:next w:val="Normal"/>
    <w:link w:val="TitleChar"/>
    <w:uiPriority w:val="10"/>
    <w:qFormat/>
    <w:rsid w:val="0086578B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6578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865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657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578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657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6578B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rsid w:val="008657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23EA1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3271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inicaltrials.gov/ct2/about-studies/glossary" TargetMode="External"/><Relationship Id="rId13" Type="http://schemas.openxmlformats.org/officeDocument/2006/relationships/hyperlink" Target="https://clinicaltrials.gov/policy/faq" TargetMode="External"/><Relationship Id="rId18" Type="http://schemas.openxmlformats.org/officeDocument/2006/relationships/hyperlink" Target="https://www.nlm.nih.gov/oet/ed/ct/demo_videos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nnlm.gov/guides/systematic-reviews" TargetMode="External"/><Relationship Id="rId7" Type="http://schemas.openxmlformats.org/officeDocument/2006/relationships/hyperlink" Target="https://clinicaltrials.gov/about-site/news-and-updates" TargetMode="External"/><Relationship Id="rId12" Type="http://schemas.openxmlformats.org/officeDocument/2006/relationships/hyperlink" Target="https://www.nlm.nih.gov/oet/ed/ct/demo_videos.html" TargetMode="External"/><Relationship Id="rId17" Type="http://schemas.openxmlformats.org/officeDocument/2006/relationships/hyperlink" Target="https://prsinfo.clinicaltrials.gov/tutorial/content/index.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clinicaltrials.gov/submit-studies/prs-help" TargetMode="External"/><Relationship Id="rId20" Type="http://schemas.openxmlformats.org/officeDocument/2006/relationships/hyperlink" Target="https://www.nih.gov/health-information/nih-clinical-research-trials-you/basic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linicaltrials.gov/data-api/how-download-study-records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register.clinicaltrials.gov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clinicaltrials.gov/study-basics/how-to-read-study-record" TargetMode="External"/><Relationship Id="rId19" Type="http://schemas.openxmlformats.org/officeDocument/2006/relationships/hyperlink" Target="https://learn.nlm.nih.gov/documentation/training-packets/T0162017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inicaltrials.gov/find-studies/how-to-search" TargetMode="External"/><Relationship Id="rId14" Type="http://schemas.openxmlformats.org/officeDocument/2006/relationships/hyperlink" Target="https://clinicaltrials.gov/policy/reporting-requirements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726</Words>
  <Characters>4272</Characters>
  <Application>Microsoft Office Word</Application>
  <DocSecurity>0</DocSecurity>
  <Lines>101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25</vt:i4>
      </vt:variant>
    </vt:vector>
  </HeadingPairs>
  <TitlesOfParts>
    <vt:vector size="26" baseType="lpstr">
      <vt:lpstr/>
      <vt:lpstr>ClinicalTrials.gov for Librarians</vt:lpstr>
      <vt:lpstr>    ClinicalTrials.gov Glossary of Common Terms</vt:lpstr>
      <vt:lpstr>    </vt:lpstr>
      <vt:lpstr>    ClinicalTrials.gov Guide to Searching for Clinical Studies</vt:lpstr>
      <vt:lpstr/>
      <vt:lpstr>    ClinicalTrials.gov How to Read a Study Record</vt:lpstr>
      <vt:lpstr>    </vt:lpstr>
      <vt:lpstr>    How to Download Study Records</vt:lpstr>
      <vt:lpstr/>
      <vt:lpstr>    ClinicalTrials.gov Demonstration Videos</vt:lpstr>
      <vt:lpstr/>
      <vt:lpstr>    Frequently Asked Questions about the ClinicalTrials.gov Policy</vt:lpstr>
      <vt:lpstr>    Clinical Trial Reporting Requirements This page helps sponsors and investigators</vt:lpstr>
      <vt:lpstr>    ClinicalTrials.gov Protocol Registration and Results System (PRS)  </vt:lpstr>
      <vt:lpstr>    Learning Resources about ClinicalTrials.gov </vt:lpstr>
      <vt:lpstr>    NIH Clinical Research Trials and You</vt:lpstr>
      <vt:lpstr>    </vt:lpstr>
      <vt:lpstr>    Systematic Reviews: NLM Products To Support Your Search </vt:lpstr>
      <vt:lpstr>    Search Tip</vt:lpstr>
      <vt:lpstr>    Class Exercise: Research Case Scenario</vt:lpstr>
      <vt:lpstr>    A trauma center is interested in designing a study examining the use of virtual </vt:lpstr>
      <vt:lpstr>    </vt:lpstr>
      <vt:lpstr>    The research team recalls hearing about a couple of studies that utilized VR but</vt:lpstr>
      <vt:lpstr>    </vt:lpstr>
      <vt:lpstr>    The team wants to know what similar research has been completed or is currently </vt:lpstr>
    </vt:vector>
  </TitlesOfParts>
  <Company>University of Utah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Brown</dc:creator>
  <cp:keywords/>
  <dc:description/>
  <cp:lastModifiedBy>Rebecca 'Librarian' Brown</cp:lastModifiedBy>
  <cp:revision>3</cp:revision>
  <dcterms:created xsi:type="dcterms:W3CDTF">2026-01-06T14:00:00Z</dcterms:created>
  <dcterms:modified xsi:type="dcterms:W3CDTF">2026-01-13T13:41:00Z</dcterms:modified>
</cp:coreProperties>
</file>