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0C8A" w14:textId="2B8C329E" w:rsidR="000F5194" w:rsidRDefault="00B80995" w:rsidP="00AE37FA">
      <w:pPr>
        <w:pStyle w:val="Heading1"/>
        <w:spacing w:before="120" w:after="240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</w:rPr>
      </w:pPr>
      <w:r>
        <w:rPr>
          <w:rFonts w:ascii="Cambria" w:hAnsi="Cambria" w:cstheme="minorHAnsi"/>
          <w:b/>
          <w:bCs/>
          <w:color w:val="000000" w:themeColor="text1"/>
          <w:sz w:val="28"/>
          <w:szCs w:val="28"/>
        </w:rPr>
        <w:t>Inclusive Disaster Planning Resources</w:t>
      </w:r>
    </w:p>
    <w:p w14:paraId="4CCB083A" w14:textId="4D875494" w:rsidR="00B80995" w:rsidRPr="00B80995" w:rsidRDefault="00000000" w:rsidP="00B80995">
      <w:pPr>
        <w:ind w:left="360"/>
        <w:rPr>
          <w:rStyle w:val="Hyperlink"/>
        </w:rPr>
      </w:pPr>
      <w:hyperlink r:id="rId7" w:history="1">
        <w:r w:rsidR="00B80995" w:rsidRPr="00581513">
          <w:rPr>
            <w:rStyle w:val="Hyperlink"/>
          </w:rPr>
          <w:t>We Prepare Everyday (video)</w:t>
        </w:r>
      </w:hyperlink>
      <w:r w:rsidR="00B80995" w:rsidRPr="00B80995">
        <w:rPr>
          <w:rStyle w:val="Hyperlink"/>
        </w:rPr>
        <w:t xml:space="preserve"> </w:t>
      </w:r>
    </w:p>
    <w:p w14:paraId="24078352" w14:textId="19A6C2AC" w:rsidR="00B80995" w:rsidRPr="00B80995" w:rsidRDefault="00000000" w:rsidP="00B80995">
      <w:pPr>
        <w:ind w:left="360"/>
        <w:rPr>
          <w:rStyle w:val="Hyperlink"/>
        </w:rPr>
      </w:pPr>
      <w:hyperlink r:id="rId8" w:history="1">
        <w:r w:rsidR="00B80995" w:rsidRPr="00B80995">
          <w:rPr>
            <w:rStyle w:val="Hyperlink"/>
          </w:rPr>
          <w:t xml:space="preserve">Ready.gov - Individuals with </w:t>
        </w:r>
        <w:r w:rsidR="00B80995" w:rsidRPr="00581513">
          <w:rPr>
            <w:rStyle w:val="Hyperlink"/>
          </w:rPr>
          <w:t>disabilities</w:t>
        </w:r>
      </w:hyperlink>
      <w:r w:rsidR="00B80995" w:rsidRPr="00B80995">
        <w:rPr>
          <w:rStyle w:val="Hyperlink"/>
        </w:rPr>
        <w:t xml:space="preserve"> </w:t>
      </w:r>
    </w:p>
    <w:p w14:paraId="4F45A9FE" w14:textId="5EEE4BA4" w:rsidR="00B80995" w:rsidRPr="00B80995" w:rsidRDefault="00000000" w:rsidP="00B80995">
      <w:pPr>
        <w:ind w:left="360"/>
        <w:rPr>
          <w:rStyle w:val="Hyperlink"/>
        </w:rPr>
      </w:pPr>
      <w:hyperlink r:id="rId9" w:history="1">
        <w:r w:rsidR="00B80995" w:rsidRPr="00B80995">
          <w:rPr>
            <w:rStyle w:val="Hyperlink"/>
          </w:rPr>
          <w:t>American Red Cross – Inclusive Preparedness Resources</w:t>
        </w:r>
      </w:hyperlink>
    </w:p>
    <w:p w14:paraId="3E9760DF" w14:textId="5177307B" w:rsidR="00B80995" w:rsidRDefault="00B80995" w:rsidP="00B80995">
      <w:pPr>
        <w:ind w:left="360"/>
        <w:rPr>
          <w:rStyle w:val="Hyperlink"/>
        </w:rPr>
      </w:pPr>
      <w:r w:rsidRPr="00B80995">
        <w:t>SAMHSA (Substance Abuse and Mental Health Services Administration</w:t>
      </w:r>
      <w:r w:rsidR="00307B12">
        <w:t xml:space="preserve">): </w:t>
      </w:r>
      <w:hyperlink r:id="rId10" w:history="1">
        <w:r w:rsidRPr="00B80995">
          <w:rPr>
            <w:rStyle w:val="Hyperlink"/>
          </w:rPr>
          <w:t>Preparing for Disaster for People With Disabilities and Other Special Needs</w:t>
        </w:r>
      </w:hyperlink>
    </w:p>
    <w:p w14:paraId="3C7E925E" w14:textId="33A2BE26" w:rsidR="00B80995" w:rsidRPr="00287D49" w:rsidRDefault="00722AAB" w:rsidP="00287D49">
      <w:pPr>
        <w:ind w:left="360"/>
        <w:rPr>
          <w:color w:val="0563C1" w:themeColor="hyperlink"/>
          <w:u w:val="single"/>
        </w:rPr>
      </w:pPr>
      <w:hyperlink r:id="rId11" w:anchor="s-lg-box-19231793" w:history="1">
        <w:r w:rsidRPr="00DC4B4E">
          <w:rPr>
            <w:rStyle w:val="Hyperlink"/>
          </w:rPr>
          <w:t>Dan Wilson’s One Page Guide</w:t>
        </w:r>
      </w:hyperlink>
    </w:p>
    <w:sectPr w:rsidR="00B80995" w:rsidRPr="00287D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B78E" w14:textId="77777777" w:rsidR="002A49FC" w:rsidRDefault="002A49FC" w:rsidP="00291D15">
      <w:pPr>
        <w:spacing w:after="0" w:line="240" w:lineRule="auto"/>
      </w:pPr>
      <w:r>
        <w:separator/>
      </w:r>
    </w:p>
  </w:endnote>
  <w:endnote w:type="continuationSeparator" w:id="0">
    <w:p w14:paraId="14D0A9E3" w14:textId="77777777" w:rsidR="002A49FC" w:rsidRDefault="002A49FC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1104093C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3768D7">
      <w:rPr>
        <w:sz w:val="16"/>
        <w:szCs w:val="16"/>
      </w:rPr>
      <w:t xml:space="preserve"> Updated September 2022.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2280" w14:textId="77777777" w:rsidR="002A49FC" w:rsidRDefault="002A49FC" w:rsidP="00291D15">
      <w:pPr>
        <w:spacing w:after="0" w:line="240" w:lineRule="auto"/>
      </w:pPr>
      <w:r>
        <w:separator/>
      </w:r>
    </w:p>
  </w:footnote>
  <w:footnote w:type="continuationSeparator" w:id="0">
    <w:p w14:paraId="63B10EA0" w14:textId="77777777" w:rsidR="002A49FC" w:rsidRDefault="002A49FC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1659A"/>
    <w:multiLevelType w:val="hybridMultilevel"/>
    <w:tmpl w:val="1464C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E803D5"/>
    <w:multiLevelType w:val="hybridMultilevel"/>
    <w:tmpl w:val="732E1E30"/>
    <w:lvl w:ilvl="0" w:tplc="8B407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81B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8F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4EC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2E1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47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985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0A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C6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B01F7F"/>
    <w:multiLevelType w:val="hybridMultilevel"/>
    <w:tmpl w:val="FE9655EC"/>
    <w:lvl w:ilvl="0" w:tplc="B7B05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BF0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4314D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F52F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6A467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77C5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370A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8F8F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A8CE8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 w16cid:durableId="1349213916">
    <w:abstractNumId w:val="2"/>
  </w:num>
  <w:num w:numId="2" w16cid:durableId="1669097399">
    <w:abstractNumId w:val="1"/>
  </w:num>
  <w:num w:numId="3" w16cid:durableId="132389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42D07"/>
    <w:rsid w:val="000C40FC"/>
    <w:rsid w:val="000F5194"/>
    <w:rsid w:val="00146D8C"/>
    <w:rsid w:val="00171FA7"/>
    <w:rsid w:val="00172DB3"/>
    <w:rsid w:val="001E4880"/>
    <w:rsid w:val="001E7058"/>
    <w:rsid w:val="00221AD4"/>
    <w:rsid w:val="00287D49"/>
    <w:rsid w:val="00291D15"/>
    <w:rsid w:val="002A34D6"/>
    <w:rsid w:val="002A49FC"/>
    <w:rsid w:val="002E64A6"/>
    <w:rsid w:val="002F4B4D"/>
    <w:rsid w:val="00303B7C"/>
    <w:rsid w:val="00307B12"/>
    <w:rsid w:val="00312B01"/>
    <w:rsid w:val="003515B6"/>
    <w:rsid w:val="00362ED6"/>
    <w:rsid w:val="003768D7"/>
    <w:rsid w:val="00454E19"/>
    <w:rsid w:val="004755FB"/>
    <w:rsid w:val="00485108"/>
    <w:rsid w:val="004D4561"/>
    <w:rsid w:val="005155EA"/>
    <w:rsid w:val="00544A11"/>
    <w:rsid w:val="00581513"/>
    <w:rsid w:val="005C6FD6"/>
    <w:rsid w:val="005D5E89"/>
    <w:rsid w:val="00625C5A"/>
    <w:rsid w:val="00673D10"/>
    <w:rsid w:val="006A58B6"/>
    <w:rsid w:val="006E5482"/>
    <w:rsid w:val="0070484C"/>
    <w:rsid w:val="00722AAB"/>
    <w:rsid w:val="007F3DC8"/>
    <w:rsid w:val="007F66FE"/>
    <w:rsid w:val="00826A6D"/>
    <w:rsid w:val="00836835"/>
    <w:rsid w:val="008A40AE"/>
    <w:rsid w:val="00AB3F96"/>
    <w:rsid w:val="00AE37FA"/>
    <w:rsid w:val="00B80995"/>
    <w:rsid w:val="00C132E6"/>
    <w:rsid w:val="00C13487"/>
    <w:rsid w:val="00CA733A"/>
    <w:rsid w:val="00D02AAA"/>
    <w:rsid w:val="00DA0D47"/>
    <w:rsid w:val="00DC4B4E"/>
    <w:rsid w:val="00DD3BE4"/>
    <w:rsid w:val="00DE1945"/>
    <w:rsid w:val="00F330E7"/>
    <w:rsid w:val="00F736ED"/>
    <w:rsid w:val="00F92EB2"/>
    <w:rsid w:val="00F93E1E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0F5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F3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40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disabil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GddWyoWky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des.hsl.virginia.edu/dan-wils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amhsa.gov/resource/dbhis/preparing-disaster-people-disabilities-special-nee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cross.org/get-help/how-to-prepare-for-emergencies/inclusive-preparedness-resource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8</cp:revision>
  <dcterms:created xsi:type="dcterms:W3CDTF">2022-09-27T15:57:00Z</dcterms:created>
  <dcterms:modified xsi:type="dcterms:W3CDTF">2022-09-27T20:46:00Z</dcterms:modified>
</cp:coreProperties>
</file>