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B2" w:rsidRDefault="005751B2" w:rsidP="005751B2">
      <w:bookmarkStart w:id="0" w:name="_Hlk99010569"/>
    </w:p>
    <w:tbl>
      <w:tblPr>
        <w:tblStyle w:val="TableGrid"/>
        <w:tblpPr w:leftFromText="180" w:rightFromText="180" w:vertAnchor="text" w:horzAnchor="margin" w:tblpY="-299"/>
        <w:tblW w:w="9895" w:type="dxa"/>
        <w:tblLook w:val="04A0" w:firstRow="1" w:lastRow="0" w:firstColumn="1" w:lastColumn="0" w:noHBand="0" w:noVBand="1"/>
      </w:tblPr>
      <w:tblGrid>
        <w:gridCol w:w="2155"/>
        <w:gridCol w:w="2430"/>
        <w:gridCol w:w="2882"/>
        <w:gridCol w:w="2428"/>
      </w:tblGrid>
      <w:tr w:rsidR="00736B8A" w:rsidRPr="00FB10EA" w:rsidTr="00736B8A">
        <w:trPr>
          <w:trHeight w:val="232"/>
        </w:trPr>
        <w:tc>
          <w:tcPr>
            <w:tcW w:w="2155" w:type="dxa"/>
            <w:shd w:val="clear" w:color="auto" w:fill="auto"/>
          </w:tcPr>
          <w:p w:rsidR="00736B8A" w:rsidRPr="002325B4" w:rsidRDefault="00736B8A" w:rsidP="006A116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Intended Users:</w:t>
            </w:r>
          </w:p>
        </w:tc>
        <w:tc>
          <w:tcPr>
            <w:tcW w:w="2430" w:type="dxa"/>
            <w:shd w:val="clear" w:color="auto" w:fill="A3DEFF"/>
          </w:tcPr>
          <w:p w:rsidR="00736B8A" w:rsidRPr="002325B4" w:rsidRDefault="00736B8A" w:rsidP="006A1169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7908482"/>
            <w:r w:rsidRPr="002325B4">
              <w:rPr>
                <w:rFonts w:cstheme="minorHAnsi"/>
                <w:b/>
                <w:bCs/>
                <w:sz w:val="20"/>
                <w:szCs w:val="20"/>
              </w:rPr>
              <w:t>Healthcare Providers</w:t>
            </w:r>
          </w:p>
        </w:tc>
        <w:tc>
          <w:tcPr>
            <w:tcW w:w="2882" w:type="dxa"/>
            <w:shd w:val="clear" w:color="auto" w:fill="D9D9D9"/>
          </w:tcPr>
          <w:p w:rsidR="00736B8A" w:rsidRPr="002325B4" w:rsidRDefault="00736B8A" w:rsidP="006A11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25B4">
              <w:rPr>
                <w:rFonts w:cstheme="minorHAnsi"/>
                <w:b/>
                <w:bCs/>
                <w:sz w:val="20"/>
                <w:szCs w:val="20"/>
              </w:rPr>
              <w:t xml:space="preserve">Information Professionals </w:t>
            </w:r>
          </w:p>
        </w:tc>
        <w:tc>
          <w:tcPr>
            <w:tcW w:w="2428" w:type="dxa"/>
            <w:shd w:val="clear" w:color="auto" w:fill="D6E6F6"/>
          </w:tcPr>
          <w:p w:rsidR="00736B8A" w:rsidRPr="002325B4" w:rsidRDefault="00736B8A" w:rsidP="006A11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25B4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2325B4">
              <w:rPr>
                <w:rFonts w:cstheme="minorHAnsi"/>
                <w:b/>
                <w:bCs/>
                <w:sz w:val="20"/>
                <w:szCs w:val="20"/>
                <w:shd w:val="clear" w:color="auto" w:fill="D6E6F6"/>
              </w:rPr>
              <w:t xml:space="preserve">esearchers </w:t>
            </w:r>
          </w:p>
        </w:tc>
      </w:tr>
    </w:tbl>
    <w:p w:rsidR="005751B2" w:rsidRDefault="005751B2" w:rsidP="005751B2">
      <w:pPr>
        <w:pStyle w:val="Heading1"/>
      </w:pPr>
      <w:bookmarkStart w:id="2" w:name="_Toc101445664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2518B1" wp14:editId="3231070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304925" cy="918210"/>
            <wp:effectExtent l="0" t="0" r="0" b="0"/>
            <wp:wrapSquare wrapText="bothSides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y of the NIH Logo | National Institutes of Health (NIH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6" b="15628"/>
                    <a:stretch/>
                  </pic:blipFill>
                  <pic:spPr bwMode="auto">
                    <a:xfrm>
                      <a:off x="0" y="0"/>
                      <a:ext cx="1327101" cy="93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E03A15">
          <w:rPr>
            <w:rStyle w:val="Hyperlink"/>
          </w:rPr>
          <w:t>NLM-Scrubber</w:t>
        </w:r>
      </w:hyperlink>
      <w:bookmarkEnd w:id="2"/>
    </w:p>
    <w:p w:rsidR="005751B2" w:rsidRDefault="005751B2" w:rsidP="005751B2">
      <w:r w:rsidRPr="00E6082C">
        <w:rPr>
          <w:b/>
        </w:rPr>
        <w:t>Description:</w:t>
      </w:r>
      <w:r>
        <w:t xml:space="preserve"> Developed at Lister Hill National Center for Biomedical Communication, the </w:t>
      </w:r>
      <w:r w:rsidR="00E03A15">
        <w:t>NLM-Scrubber</w:t>
      </w:r>
      <w:r>
        <w:t xml:space="preserve"> is </w:t>
      </w:r>
      <w:r w:rsidR="00223C92">
        <w:t xml:space="preserve">freely available </w:t>
      </w:r>
      <w:r>
        <w:t>tool used for clinical text de</w:t>
      </w:r>
      <w:r w:rsidR="00D75450">
        <w:t>-</w:t>
      </w:r>
      <w:r>
        <w:t>identification.</w:t>
      </w:r>
      <w:r w:rsidR="00223C92" w:rsidRPr="00223C92">
        <w:t xml:space="preserve"> </w:t>
      </w:r>
      <w:r w:rsidR="00223C92">
        <w:t xml:space="preserve">It can be downloaded directly from its website and run locally without any prerequisite installation or Internet connection. </w:t>
      </w:r>
      <w:r>
        <w:t xml:space="preserve">This tool uses natural language processing to </w:t>
      </w:r>
      <w:r w:rsidR="00223C92">
        <w:t>find</w:t>
      </w:r>
      <w:r>
        <w:t xml:space="preserve"> personally identifying </w:t>
      </w:r>
      <w:r w:rsidR="00223C92">
        <w:t xml:space="preserve">information (PII) </w:t>
      </w:r>
      <w:r>
        <w:t xml:space="preserve">and replace them with </w:t>
      </w:r>
      <w:r w:rsidR="00223C92">
        <w:t>labels in square brackets</w:t>
      </w:r>
      <w:r>
        <w:t xml:space="preserve">. For example, “John Smith, diagnosed at age </w:t>
      </w:r>
      <w:r w:rsidR="00223C92">
        <w:t>9</w:t>
      </w:r>
      <w:r>
        <w:t xml:space="preserve">2”, is replaced with </w:t>
      </w:r>
      <w:r w:rsidR="00223C92">
        <w:t>“[PERSONALNAME]</w:t>
      </w:r>
      <w:r>
        <w:t xml:space="preserve">, diagnosed at age </w:t>
      </w:r>
      <w:r w:rsidR="00223C92">
        <w:t>[AGE90+]”</w:t>
      </w:r>
      <w:r>
        <w:t xml:space="preserve">. </w:t>
      </w:r>
      <w:r w:rsidR="00736B8A">
        <w:t>People</w:t>
      </w:r>
      <w:r w:rsidR="00223C92">
        <w:t xml:space="preserve"> can provide a</w:t>
      </w:r>
      <w:r w:rsidR="00D75450">
        <w:t xml:space="preserve"> </w:t>
      </w:r>
      <w:r w:rsidR="00223C92">
        <w:t xml:space="preserve">list of terms to be preserved from deidentification, and a list of terms to be redacted. </w:t>
      </w:r>
      <w:r>
        <w:t xml:space="preserve"> </w:t>
      </w:r>
      <w:r w:rsidR="00B27004">
        <w:t>By default, t</w:t>
      </w:r>
      <w:r w:rsidR="00223C92">
        <w:t xml:space="preserve">he </w:t>
      </w:r>
      <w:r w:rsidR="00E03A15">
        <w:t>NLM-Scrubber</w:t>
      </w:r>
      <w:r w:rsidR="00223C92">
        <w:t xml:space="preserve"> </w:t>
      </w:r>
      <w:r w:rsidR="00B27004">
        <w:t>de</w:t>
      </w:r>
      <w:r w:rsidR="00D75450">
        <w:t>-</w:t>
      </w:r>
      <w:r w:rsidR="00B27004">
        <w:t xml:space="preserve">identifies </w:t>
      </w:r>
      <w:r w:rsidR="00223C92">
        <w:t>all H</w:t>
      </w:r>
      <w:r w:rsidR="00E03A15">
        <w:t xml:space="preserve">ealth </w:t>
      </w:r>
      <w:r w:rsidR="00223C92">
        <w:t>I</w:t>
      </w:r>
      <w:r w:rsidR="00E03A15">
        <w:t xml:space="preserve">nsurance </w:t>
      </w:r>
      <w:r w:rsidR="00223C92">
        <w:t>P</w:t>
      </w:r>
      <w:r w:rsidR="00E03A15">
        <w:t xml:space="preserve">ortability and </w:t>
      </w:r>
      <w:r w:rsidR="00223C92">
        <w:t>A</w:t>
      </w:r>
      <w:r w:rsidR="00E03A15">
        <w:t xml:space="preserve">ccountability </w:t>
      </w:r>
      <w:r w:rsidR="00223C92">
        <w:t>A</w:t>
      </w:r>
      <w:r w:rsidR="00E03A15">
        <w:t>ct of 1996 (HIPAA)</w:t>
      </w:r>
      <w:r w:rsidR="00223C92">
        <w:t xml:space="preserve"> defined personal identifiers</w:t>
      </w:r>
      <w:r w:rsidR="00B27004">
        <w:t>.</w:t>
      </w:r>
      <w:r w:rsidR="00223C92">
        <w:t xml:space="preserve"> </w:t>
      </w:r>
      <w:r w:rsidR="00E03A15">
        <w:t xml:space="preserve">People </w:t>
      </w:r>
      <w:r w:rsidR="00223C92">
        <w:t>have various options to configure the system in order to preserve some of those personal identifiers (e.g., ages above 89) and produce a limited data set.</w:t>
      </w:r>
    </w:p>
    <w:p w:rsidR="00642A86" w:rsidRDefault="00642A86" w:rsidP="005751B2"/>
    <w:p w:rsidR="00736B8A" w:rsidRDefault="00736B8A" w:rsidP="00736B8A">
      <w:pPr>
        <w:pStyle w:val="Heading2"/>
      </w:pPr>
      <w:r>
        <w:t>Popular uses for this product:</w:t>
      </w:r>
    </w:p>
    <w:tbl>
      <w:tblPr>
        <w:tblStyle w:val="TableGrid"/>
        <w:tblW w:w="9936" w:type="dxa"/>
        <w:tblInd w:w="-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240"/>
        <w:gridCol w:w="3546"/>
      </w:tblGrid>
      <w:tr w:rsidR="005751B2" w:rsidRPr="00034B19" w:rsidTr="006A1169">
        <w:trPr>
          <w:trHeight w:val="350"/>
        </w:trPr>
        <w:tc>
          <w:tcPr>
            <w:tcW w:w="3150" w:type="dxa"/>
            <w:shd w:val="clear" w:color="auto" w:fill="A3DEFF"/>
            <w:vAlign w:val="bottom"/>
          </w:tcPr>
          <w:p w:rsidR="005751B2" w:rsidRPr="002325B4" w:rsidRDefault="005751B2" w:rsidP="006A1169">
            <w:pPr>
              <w:rPr>
                <w:rFonts w:cstheme="minorHAnsi"/>
                <w:b/>
                <w:bCs/>
              </w:rPr>
            </w:pPr>
            <w:bookmarkStart w:id="3" w:name="_Hlk97045006"/>
            <w:r w:rsidRPr="002325B4">
              <w:rPr>
                <w:rFonts w:cstheme="minorHAnsi"/>
                <w:b/>
                <w:bCs/>
              </w:rPr>
              <w:t>Healthcare Providers</w:t>
            </w:r>
          </w:p>
        </w:tc>
        <w:tc>
          <w:tcPr>
            <w:tcW w:w="3240" w:type="dxa"/>
            <w:shd w:val="clear" w:color="auto" w:fill="D9D9D9"/>
            <w:vAlign w:val="bottom"/>
          </w:tcPr>
          <w:p w:rsidR="005751B2" w:rsidRPr="002325B4" w:rsidRDefault="005751B2" w:rsidP="006A1169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 xml:space="preserve">Information Professionals </w:t>
            </w:r>
          </w:p>
        </w:tc>
        <w:tc>
          <w:tcPr>
            <w:tcW w:w="3546" w:type="dxa"/>
            <w:shd w:val="clear" w:color="auto" w:fill="D6E6F6"/>
            <w:vAlign w:val="bottom"/>
          </w:tcPr>
          <w:p w:rsidR="005751B2" w:rsidRPr="002325B4" w:rsidRDefault="005751B2" w:rsidP="006A116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Researchers</w:t>
            </w:r>
          </w:p>
        </w:tc>
      </w:tr>
      <w:tr w:rsidR="005751B2" w:rsidRPr="00034B19" w:rsidTr="006A1169">
        <w:trPr>
          <w:trHeight w:val="2088"/>
        </w:trPr>
        <w:tc>
          <w:tcPr>
            <w:tcW w:w="3150" w:type="dxa"/>
            <w:shd w:val="clear" w:color="auto" w:fill="auto"/>
          </w:tcPr>
          <w:p w:rsidR="005751B2" w:rsidRPr="00D3200C" w:rsidRDefault="005751B2" w:rsidP="006A1169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>De</w:t>
            </w:r>
            <w:r w:rsidR="00B27004">
              <w:rPr>
                <w:rFonts w:cstheme="minorHAnsi"/>
              </w:rPr>
              <w:t>-</w:t>
            </w:r>
            <w:r>
              <w:rPr>
                <w:rFonts w:cstheme="minorHAnsi"/>
              </w:rPr>
              <w:t>identify clinic</w:t>
            </w:r>
            <w:r w:rsidR="00B27004">
              <w:rPr>
                <w:rFonts w:cstheme="minorHAnsi"/>
              </w:rPr>
              <w:t>al</w:t>
            </w:r>
            <w:r>
              <w:rPr>
                <w:rFonts w:cstheme="minorHAnsi"/>
              </w:rPr>
              <w:t xml:space="preserve"> notes and records so information can be combined, analyzed and shared. </w:t>
            </w:r>
          </w:p>
        </w:tc>
        <w:tc>
          <w:tcPr>
            <w:tcW w:w="3240" w:type="dxa"/>
            <w:shd w:val="clear" w:color="auto" w:fill="auto"/>
          </w:tcPr>
          <w:p w:rsidR="005751B2" w:rsidRPr="00034B19" w:rsidRDefault="005751B2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Guide patrons to current literature on best practices for anonymization and de</w:t>
            </w:r>
            <w:r w:rsidR="00D7545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identification. </w:t>
            </w:r>
          </w:p>
          <w:p w:rsidR="005751B2" w:rsidRPr="00034B19" w:rsidRDefault="005751B2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Guide patrons to resources on privacy, re</w:t>
            </w:r>
            <w:r w:rsidR="00D7545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identification risks, and data organization. </w:t>
            </w:r>
          </w:p>
        </w:tc>
        <w:tc>
          <w:tcPr>
            <w:tcW w:w="3546" w:type="dxa"/>
          </w:tcPr>
          <w:p w:rsidR="005751B2" w:rsidRDefault="005751B2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De</w:t>
            </w:r>
            <w:r w:rsidR="00D75450">
              <w:rPr>
                <w:rFonts w:cstheme="minorHAnsi"/>
              </w:rPr>
              <w:t>-</w:t>
            </w:r>
            <w:r>
              <w:rPr>
                <w:rFonts w:cstheme="minorHAnsi"/>
              </w:rPr>
              <w:t>identify</w:t>
            </w:r>
            <w:r w:rsidR="00E03A15">
              <w:rPr>
                <w:rFonts w:cstheme="minorHAnsi"/>
              </w:rPr>
              <w:t xml:space="preserve"> electronic medical records (</w:t>
            </w:r>
            <w:r>
              <w:rPr>
                <w:rFonts w:cstheme="minorHAnsi"/>
              </w:rPr>
              <w:t>EMRs</w:t>
            </w:r>
            <w:r w:rsidR="00E03A15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so information can be combined, </w:t>
            </w:r>
            <w:r w:rsidR="00324622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 xml:space="preserve">analyzed </w:t>
            </w:r>
            <w:r w:rsidR="00324622">
              <w:rPr>
                <w:rFonts w:cstheme="minorHAnsi"/>
              </w:rPr>
              <w:t>without breaching patient privacy.</w:t>
            </w:r>
          </w:p>
          <w:p w:rsidR="005751B2" w:rsidRPr="00A05BE0" w:rsidRDefault="005751B2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 w:rsidRPr="0036532B">
              <w:rPr>
                <w:rFonts w:cstheme="minorHAnsi"/>
              </w:rPr>
              <w:t>De</w:t>
            </w:r>
            <w:r w:rsidR="00D75450">
              <w:rPr>
                <w:rFonts w:cstheme="minorHAnsi"/>
              </w:rPr>
              <w:t>-</w:t>
            </w:r>
            <w:r w:rsidRPr="0036532B">
              <w:rPr>
                <w:rFonts w:cstheme="minorHAnsi"/>
              </w:rPr>
              <w:t xml:space="preserve">identify private health information </w:t>
            </w:r>
            <w:r w:rsidR="0036532B" w:rsidRPr="0036532B">
              <w:rPr>
                <w:rFonts w:cstheme="minorHAnsi"/>
              </w:rPr>
              <w:t xml:space="preserve">before sharing under an appropriate data use agreement. </w:t>
            </w:r>
            <w:r>
              <w:rPr>
                <w:rFonts w:cstheme="minorHAnsi"/>
              </w:rPr>
              <w:t xml:space="preserve"> </w:t>
            </w:r>
          </w:p>
        </w:tc>
      </w:tr>
    </w:tbl>
    <w:bookmarkEnd w:id="3"/>
    <w:p w:rsidR="005751B2" w:rsidRDefault="005751B2" w:rsidP="005751B2">
      <w:pPr>
        <w:pStyle w:val="Heading2"/>
      </w:pPr>
      <w:r w:rsidRPr="00034B19">
        <w:t xml:space="preserve">Key Points: </w:t>
      </w:r>
    </w:p>
    <w:p w:rsidR="005751B2" w:rsidRPr="00843BD5" w:rsidRDefault="00E03A15" w:rsidP="005751B2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NLM-Scrubber</w:t>
      </w:r>
      <w:r w:rsidR="005751B2" w:rsidRPr="00843BD5">
        <w:rPr>
          <w:rFonts w:cstheme="minorHAnsi"/>
          <w:bCs/>
        </w:rPr>
        <w:t xml:space="preserve"> is </w:t>
      </w:r>
      <w:r w:rsidR="005751B2">
        <w:rPr>
          <w:rFonts w:cstheme="minorHAnsi"/>
          <w:bCs/>
        </w:rPr>
        <w:t xml:space="preserve">a freely available, </w:t>
      </w:r>
      <w:r w:rsidR="005751B2" w:rsidRPr="00843BD5">
        <w:rPr>
          <w:rFonts w:cstheme="minorHAnsi"/>
          <w:bCs/>
        </w:rPr>
        <w:t>HIP</w:t>
      </w:r>
      <w:r w:rsidR="00324622">
        <w:rPr>
          <w:rFonts w:cstheme="minorHAnsi"/>
          <w:bCs/>
        </w:rPr>
        <w:t>A</w:t>
      </w:r>
      <w:r w:rsidR="005751B2" w:rsidRPr="00843BD5">
        <w:rPr>
          <w:rFonts w:cstheme="minorHAnsi"/>
          <w:bCs/>
        </w:rPr>
        <w:t>A compliant</w:t>
      </w:r>
      <w:r w:rsidR="00B27004">
        <w:rPr>
          <w:rFonts w:cstheme="minorHAnsi"/>
          <w:bCs/>
        </w:rPr>
        <w:t>,</w:t>
      </w:r>
      <w:r w:rsidR="005751B2" w:rsidRPr="00843BD5">
        <w:rPr>
          <w:rFonts w:cstheme="minorHAnsi"/>
          <w:bCs/>
        </w:rPr>
        <w:t xml:space="preserve"> </w:t>
      </w:r>
      <w:r w:rsidR="005751B2">
        <w:rPr>
          <w:rFonts w:cstheme="minorHAnsi"/>
          <w:bCs/>
        </w:rPr>
        <w:t xml:space="preserve">clinical deidentification tool. </w:t>
      </w:r>
    </w:p>
    <w:p w:rsidR="005751B2" w:rsidRDefault="00E03A15" w:rsidP="005751B2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Cs/>
        </w:rPr>
        <w:t>NLM-Scrubber</w:t>
      </w:r>
      <w:r w:rsidR="005751B2" w:rsidRPr="00843BD5">
        <w:rPr>
          <w:rFonts w:cstheme="minorHAnsi"/>
          <w:bCs/>
        </w:rPr>
        <w:t xml:space="preserve"> download is available for Windows and Linux user</w:t>
      </w:r>
      <w:r w:rsidR="005751B2">
        <w:rPr>
          <w:rFonts w:cstheme="minorHAnsi"/>
          <w:bCs/>
        </w:rPr>
        <w:t xml:space="preserve">s. </w:t>
      </w:r>
      <w:r w:rsidR="005751B2">
        <w:rPr>
          <w:rFonts w:cstheme="minorHAnsi"/>
          <w:b/>
          <w:bCs/>
        </w:rPr>
        <w:t xml:space="preserve"> </w:t>
      </w:r>
    </w:p>
    <w:p w:rsidR="005751B2" w:rsidRPr="00843BD5" w:rsidRDefault="00E03A15" w:rsidP="005751B2">
      <w:pPr>
        <w:pStyle w:val="Heading2"/>
      </w:pPr>
      <w:r>
        <w:t>Considerations</w:t>
      </w:r>
      <w:r w:rsidR="005751B2" w:rsidRPr="00843BD5">
        <w:t xml:space="preserve">: </w:t>
      </w:r>
    </w:p>
    <w:p w:rsidR="005751B2" w:rsidRPr="00C43D87" w:rsidRDefault="005751B2" w:rsidP="005751B2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C43D87">
        <w:rPr>
          <w:rFonts w:cstheme="minorHAnsi"/>
        </w:rPr>
        <w:t xml:space="preserve">The tool </w:t>
      </w:r>
      <w:r w:rsidR="00324622">
        <w:rPr>
          <w:rFonts w:cstheme="minorHAnsi"/>
        </w:rPr>
        <w:t xml:space="preserve">requires </w:t>
      </w:r>
      <w:r w:rsidR="00324622" w:rsidRPr="714FF2CC">
        <w:t>input folder information where the files of clinical notes are stored and an output folder for the de</w:t>
      </w:r>
      <w:r w:rsidR="00E03A15">
        <w:t>-</w:t>
      </w:r>
      <w:r w:rsidR="00324622" w:rsidRPr="714FF2CC">
        <w:t>identified data</w:t>
      </w:r>
      <w:r w:rsidR="00324622">
        <w:t>,</w:t>
      </w:r>
      <w:r w:rsidR="00324622" w:rsidRPr="714FF2CC">
        <w:t xml:space="preserve"> but it can be further customized according to </w:t>
      </w:r>
      <w:r w:rsidR="00E03A15">
        <w:t>a person’s needs.</w:t>
      </w:r>
    </w:p>
    <w:p w:rsidR="00324622" w:rsidRPr="00324622" w:rsidRDefault="00E03A15" w:rsidP="005751B2">
      <w:pPr>
        <w:pStyle w:val="ListParagraph"/>
        <w:numPr>
          <w:ilvl w:val="0"/>
          <w:numId w:val="5"/>
        </w:numPr>
        <w:rPr>
          <w:rFonts w:cstheme="minorHAnsi"/>
          <w:bCs/>
        </w:rPr>
      </w:pPr>
      <w:r>
        <w:t>NLM-Scrubber</w:t>
      </w:r>
      <w:r w:rsidR="00324622" w:rsidRPr="714FF2CC">
        <w:t xml:space="preserve"> can de-identify 1</w:t>
      </w:r>
      <w:r>
        <w:t>,</w:t>
      </w:r>
      <w:r w:rsidR="00324622" w:rsidRPr="714FF2CC">
        <w:t>000 typical-size clinical notes in</w:t>
      </w:r>
      <w:r w:rsidR="00324622">
        <w:t xml:space="preserve"> about a</w:t>
      </w:r>
      <w:r w:rsidR="00324622" w:rsidRPr="714FF2CC">
        <w:t xml:space="preserve"> minute on a modern laptop computer.</w:t>
      </w:r>
    </w:p>
    <w:p w:rsidR="005751B2" w:rsidRPr="00C43D87" w:rsidRDefault="00736B8A" w:rsidP="005751B2">
      <w:pPr>
        <w:pStyle w:val="ListParagraph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People</w:t>
      </w:r>
      <w:r w:rsidR="005751B2">
        <w:rPr>
          <w:rFonts w:cstheme="minorHAnsi"/>
          <w:bCs/>
        </w:rPr>
        <w:t xml:space="preserve"> are responsible for verifying that all information is properly deidentified before sharing. </w:t>
      </w:r>
    </w:p>
    <w:p w:rsidR="005751B2" w:rsidRPr="00843BD5" w:rsidRDefault="005751B2" w:rsidP="005751B2">
      <w:pPr>
        <w:pStyle w:val="Heading2"/>
      </w:pPr>
      <w:r w:rsidRPr="00843BD5">
        <w:t>Teaching Examples:</w:t>
      </w:r>
      <w:bookmarkStart w:id="4" w:name="_GoBack"/>
      <w:bookmarkEnd w:id="4"/>
    </w:p>
    <w:p w:rsidR="005751B2" w:rsidRDefault="005751B2" w:rsidP="005751B2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6A6D1D">
        <w:rPr>
          <w:rFonts w:cstheme="minorHAnsi"/>
          <w:bCs/>
        </w:rPr>
        <w:t>Have participants explore the annotation information. What are two categories of identifiers? Within each of those categories, what is an example of a de</w:t>
      </w:r>
      <w:r w:rsidR="00E03A15">
        <w:rPr>
          <w:rFonts w:cstheme="minorHAnsi"/>
          <w:bCs/>
        </w:rPr>
        <w:t>-</w:t>
      </w:r>
      <w:r w:rsidRPr="006A6D1D">
        <w:rPr>
          <w:rFonts w:cstheme="minorHAnsi"/>
          <w:bCs/>
        </w:rPr>
        <w:t>identified label?</w:t>
      </w:r>
    </w:p>
    <w:p w:rsidR="00E03A15" w:rsidRPr="006A6D1D" w:rsidRDefault="00E03A15" w:rsidP="005751B2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Discuss the differences between anonymization and de-identification and the differences between </w:t>
      </w:r>
      <w:r w:rsidR="00642A86">
        <w:rPr>
          <w:rFonts w:cstheme="minorHAnsi"/>
          <w:bCs/>
        </w:rPr>
        <w:t xml:space="preserve">sensitive information and personally identifying information. How does NLM-Scrubber protect this kind of information? Brainstorm additional ways to protect private health information. </w:t>
      </w:r>
    </w:p>
    <w:p w:rsidR="005751B2" w:rsidRPr="00C43D87" w:rsidRDefault="005751B2" w:rsidP="005751B2">
      <w:pPr>
        <w:rPr>
          <w:rFonts w:cstheme="minorHAnsi"/>
          <w:b/>
          <w:bCs/>
        </w:rPr>
      </w:pPr>
      <w:r w:rsidRPr="00C43D87">
        <w:rPr>
          <w:rFonts w:cstheme="minorHAnsi"/>
          <w:b/>
          <w:bCs/>
        </w:rPr>
        <w:t>Real Life Examples:</w:t>
      </w:r>
    </w:p>
    <w:p w:rsidR="005751B2" w:rsidRPr="002674F5" w:rsidRDefault="005751B2" w:rsidP="005751B2">
      <w:pPr>
        <w:pStyle w:val="ListParagraph"/>
        <w:numPr>
          <w:ilvl w:val="0"/>
          <w:numId w:val="4"/>
        </w:numPr>
        <w:rPr>
          <w:b/>
        </w:rPr>
      </w:pPr>
      <w:r>
        <w:rPr>
          <w:rFonts w:cstheme="minorHAnsi"/>
        </w:rPr>
        <w:t xml:space="preserve">A researcher at a hospital uses </w:t>
      </w:r>
      <w:r w:rsidR="00E03A15">
        <w:rPr>
          <w:rFonts w:cstheme="minorHAnsi"/>
        </w:rPr>
        <w:t>NLM-Scrubber</w:t>
      </w:r>
      <w:r>
        <w:rPr>
          <w:rFonts w:cstheme="minorHAnsi"/>
        </w:rPr>
        <w:t xml:space="preserve"> to de</w:t>
      </w:r>
      <w:r w:rsidR="00E03A15">
        <w:rPr>
          <w:rFonts w:cstheme="minorHAnsi"/>
        </w:rPr>
        <w:t>-</w:t>
      </w:r>
      <w:r>
        <w:rPr>
          <w:rFonts w:cstheme="minorHAnsi"/>
        </w:rPr>
        <w:t xml:space="preserve">identify clinic notes so information can be safely analyzed while respecting patient privacy.  </w:t>
      </w:r>
    </w:p>
    <w:p w:rsidR="005751B2" w:rsidRPr="002674F5" w:rsidRDefault="005751B2" w:rsidP="005751B2">
      <w:pPr>
        <w:pStyle w:val="ListParagraph"/>
        <w:numPr>
          <w:ilvl w:val="0"/>
          <w:numId w:val="4"/>
        </w:numPr>
        <w:rPr>
          <w:b/>
        </w:rPr>
      </w:pPr>
      <w:r>
        <w:t xml:space="preserve">A public health researcher uses </w:t>
      </w:r>
      <w:r w:rsidR="00E03A15">
        <w:t>NLM-Scrubber</w:t>
      </w:r>
      <w:r>
        <w:t xml:space="preserve"> to de</w:t>
      </w:r>
      <w:r w:rsidR="00E03A15">
        <w:t>-</w:t>
      </w:r>
      <w:r>
        <w:t xml:space="preserve">identify health related datasets so that research data can be safely preserved, published, and shared. </w:t>
      </w:r>
    </w:p>
    <w:p w:rsidR="005751B2" w:rsidRDefault="005751B2" w:rsidP="005751B2">
      <w:pPr>
        <w:pStyle w:val="Heading2"/>
      </w:pPr>
      <w:r w:rsidRPr="00193CEC">
        <w:t>More Information:</w:t>
      </w:r>
    </w:p>
    <w:p w:rsidR="00E03A15" w:rsidRDefault="00D31786" w:rsidP="00410DF5">
      <w:hyperlink r:id="rId9" w:history="1">
        <w:r w:rsidR="00410DF5" w:rsidRPr="00410DF5">
          <w:rPr>
            <w:rStyle w:val="Hyperlink"/>
          </w:rPr>
          <w:t>User Manual</w:t>
        </w:r>
      </w:hyperlink>
      <w:r w:rsidR="00E03A15">
        <w:tab/>
      </w:r>
      <w:hyperlink r:id="rId10" w:history="1">
        <w:r w:rsidR="00E03A15">
          <w:rPr>
            <w:rStyle w:val="Hyperlink"/>
          </w:rPr>
          <w:t>NLM-Scrubber</w:t>
        </w:r>
        <w:r w:rsidR="005751B2" w:rsidRPr="00193CEC">
          <w:rPr>
            <w:rStyle w:val="Hyperlink"/>
          </w:rPr>
          <w:t xml:space="preserve"> Announcements</w:t>
        </w:r>
      </w:hyperlink>
      <w:r w:rsidR="005751B2">
        <w:tab/>
      </w:r>
      <w:r w:rsidR="00E03A15">
        <w:tab/>
      </w:r>
      <w:hyperlink r:id="rId11" w:history="1">
        <w:r w:rsidR="00E03A15" w:rsidRPr="00E03A15">
          <w:rPr>
            <w:rStyle w:val="Hyperlink"/>
          </w:rPr>
          <w:t>List of o</w:t>
        </w:r>
        <w:r w:rsidR="005751B2" w:rsidRPr="00E03A15">
          <w:rPr>
            <w:rStyle w:val="Hyperlink"/>
          </w:rPr>
          <w:t>ther deidentification tools</w:t>
        </w:r>
      </w:hyperlink>
      <w:r w:rsidR="00E03A15">
        <w:tab/>
      </w:r>
    </w:p>
    <w:p w:rsidR="005751B2" w:rsidRDefault="00E03A15" w:rsidP="00410DF5">
      <w:hyperlink r:id="rId12" w:history="1">
        <w:r w:rsidRPr="00E03A15">
          <w:rPr>
            <w:rStyle w:val="Hyperlink"/>
          </w:rPr>
          <w:t>Comparative Analysis of De-identification Tools</w:t>
        </w:r>
      </w:hyperlink>
    </w:p>
    <w:p w:rsidR="00642A86" w:rsidRDefault="00642A86" w:rsidP="00410DF5">
      <w:pPr>
        <w:rPr>
          <w:rStyle w:val="Hyperlink"/>
        </w:rPr>
      </w:pPr>
    </w:p>
    <w:bookmarkEnd w:id="0"/>
    <w:p w:rsidR="00E03A15" w:rsidRPr="002674F5" w:rsidRDefault="00E03A15" w:rsidP="00E03A15">
      <w:pPr>
        <w:pStyle w:val="Heading2"/>
      </w:pPr>
      <w:r w:rsidRPr="002674F5">
        <w:t>Commercial Equivalents:</w:t>
      </w:r>
    </w:p>
    <w:p w:rsidR="00E03A15" w:rsidRDefault="00E03A15" w:rsidP="00E03A15">
      <w:r>
        <w:t>Numerous commercial and open-source deidentification tools are available. New machine learning and natural language processing algorithms are created every day to perform highly specialized methods of deidentification.</w:t>
      </w:r>
    </w:p>
    <w:p w:rsidR="00E03A15" w:rsidRDefault="00E03A15" w:rsidP="00E03A15">
      <w:r>
        <w:t xml:space="preserve">Commercial options like </w:t>
      </w:r>
      <w:hyperlink r:id="rId13" w:history="1">
        <w:r w:rsidRPr="006E6B0A">
          <w:rPr>
            <w:rStyle w:val="Hyperlink"/>
          </w:rPr>
          <w:t>Google Cloud</w:t>
        </w:r>
      </w:hyperlink>
      <w:r>
        <w:t xml:space="preserve">, </w:t>
      </w:r>
      <w:hyperlink r:id="rId14" w:history="1">
        <w:proofErr w:type="spellStart"/>
        <w:r w:rsidRPr="002516CD">
          <w:rPr>
            <w:rStyle w:val="Hyperlink"/>
          </w:rPr>
          <w:t>AirCloak</w:t>
        </w:r>
        <w:proofErr w:type="spellEnd"/>
      </w:hyperlink>
      <w:r>
        <w:t xml:space="preserve">, </w:t>
      </w:r>
      <w:hyperlink r:id="rId15" w:history="1">
        <w:r w:rsidRPr="002516CD">
          <w:rPr>
            <w:rStyle w:val="Hyperlink"/>
          </w:rPr>
          <w:t>John Snow Labs</w:t>
        </w:r>
      </w:hyperlink>
      <w:r>
        <w:t xml:space="preserve">, and </w:t>
      </w:r>
      <w:hyperlink r:id="rId16" w:history="1">
        <w:proofErr w:type="spellStart"/>
        <w:r w:rsidRPr="002516CD">
          <w:rPr>
            <w:rStyle w:val="Hyperlink"/>
          </w:rPr>
          <w:t>Skyflow</w:t>
        </w:r>
        <w:proofErr w:type="spellEnd"/>
      </w:hyperlink>
      <w:r>
        <w:t>, often include other data analytics options with their packages.</w:t>
      </w:r>
    </w:p>
    <w:p w:rsidR="00993F31" w:rsidRDefault="00D31786"/>
    <w:sectPr w:rsidR="00993F31" w:rsidSect="005751B2"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86" w:rsidRDefault="00D31786" w:rsidP="00B27004">
      <w:r>
        <w:separator/>
      </w:r>
    </w:p>
  </w:endnote>
  <w:endnote w:type="continuationSeparator" w:id="0">
    <w:p w:rsidR="00D31786" w:rsidRDefault="00D31786" w:rsidP="00B2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B8A" w:rsidRPr="00307A22" w:rsidRDefault="00736B8A" w:rsidP="00736B8A">
    <w:pPr>
      <w:pStyle w:val="Footer"/>
      <w:jc w:val="center"/>
      <w:rPr>
        <w:sz w:val="18"/>
      </w:rPr>
    </w:pPr>
    <w:bookmarkStart w:id="5" w:name="_Hlk107491073"/>
    <w:r w:rsidRPr="00307A22">
      <w:rPr>
        <w:sz w:val="18"/>
      </w:rPr>
      <w:t xml:space="preserve">Updated: </w:t>
    </w:r>
    <w:r w:rsidR="00642A86">
      <w:rPr>
        <w:sz w:val="18"/>
      </w:rPr>
      <w:t>9/29</w:t>
    </w:r>
    <w:r w:rsidRPr="00307A22">
      <w:rPr>
        <w:sz w:val="18"/>
      </w:rPr>
      <w:t>/202</w:t>
    </w:r>
    <w:r w:rsidR="00642A86">
      <w:rPr>
        <w:sz w:val="18"/>
      </w:rPr>
      <w:t>3</w:t>
    </w:r>
    <w:r>
      <w:rPr>
        <w:sz w:val="18"/>
      </w:rPr>
      <w:t>;</w:t>
    </w:r>
    <w:r w:rsidRPr="00307A22">
      <w:rPr>
        <w:sz w:val="18"/>
      </w:rPr>
      <w:t xml:space="preserve"> Contact </w:t>
    </w:r>
    <w:hyperlink r:id="rId1" w:history="1">
      <w:r w:rsidRPr="00F33133">
        <w:rPr>
          <w:rStyle w:val="Hyperlink"/>
          <w:sz w:val="18"/>
        </w:rPr>
        <w:t>katie.pierce-farrier@unthsc.edu</w:t>
      </w:r>
    </w:hyperlink>
    <w:r>
      <w:rPr>
        <w:sz w:val="18"/>
      </w:rPr>
      <w:t xml:space="preserve"> for more information about product guide. </w:t>
    </w:r>
  </w:p>
  <w:p w:rsidR="00736B8A" w:rsidRPr="00307A22" w:rsidRDefault="00736B8A" w:rsidP="00736B8A">
    <w:pPr>
      <w:pStyle w:val="Footer"/>
      <w:rPr>
        <w:sz w:val="18"/>
      </w:rPr>
    </w:pPr>
    <w:r w:rsidRPr="00307A22">
      <w:rPr>
        <w:sz w:val="18"/>
      </w:rPr>
      <w:t>Content contributed and edited by</w:t>
    </w:r>
    <w:r>
      <w:rPr>
        <w:sz w:val="18"/>
      </w:rPr>
      <w:t xml:space="preserve"> </w:t>
    </w:r>
    <w:r>
      <w:rPr>
        <w:rFonts w:ascii="Calibri" w:hAnsi="Calibri" w:cs="Calibri"/>
        <w:sz w:val="18"/>
        <w:shd w:val="clear" w:color="auto" w:fill="FFFFFF"/>
      </w:rPr>
      <w:t>National Library of Medicine</w:t>
    </w:r>
    <w:r w:rsidRPr="00307A22">
      <w:rPr>
        <w:rFonts w:ascii="Calibri" w:hAnsi="Calibri" w:cs="Calibri"/>
        <w:sz w:val="18"/>
        <w:shd w:val="clear" w:color="auto" w:fill="FFFFFF"/>
      </w:rPr>
      <w:t xml:space="preserve"> and</w:t>
    </w:r>
    <w:r w:rsidRPr="00307A22">
      <w:rPr>
        <w:sz w:val="18"/>
      </w:rPr>
      <w:t xml:space="preserve"> </w:t>
    </w:r>
    <w:r>
      <w:rPr>
        <w:sz w:val="18"/>
      </w:rPr>
      <w:t xml:space="preserve">University </w:t>
    </w:r>
    <w:r w:rsidRPr="00307A22">
      <w:rPr>
        <w:sz w:val="18"/>
      </w:rPr>
      <w:t>of North Texas</w:t>
    </w:r>
    <w:r>
      <w:rPr>
        <w:sz w:val="18"/>
      </w:rPr>
      <w:t xml:space="preserve"> Health Science Center</w:t>
    </w:r>
    <w:r w:rsidRPr="00307A22">
      <w:rPr>
        <w:sz w:val="18"/>
      </w:rPr>
      <w:t xml:space="preserve"> Lewis Library </w:t>
    </w:r>
  </w:p>
  <w:bookmarkEnd w:id="5"/>
  <w:p w:rsidR="00B27004" w:rsidRPr="00736B8A" w:rsidRDefault="00B27004" w:rsidP="00736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86" w:rsidRDefault="00D31786" w:rsidP="00B27004">
      <w:r>
        <w:separator/>
      </w:r>
    </w:p>
  </w:footnote>
  <w:footnote w:type="continuationSeparator" w:id="0">
    <w:p w:rsidR="00D31786" w:rsidRDefault="00D31786" w:rsidP="00B2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5774"/>
    <w:multiLevelType w:val="hybridMultilevel"/>
    <w:tmpl w:val="06E4926C"/>
    <w:lvl w:ilvl="0" w:tplc="ACE41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AA8"/>
    <w:multiLevelType w:val="hybridMultilevel"/>
    <w:tmpl w:val="E2FA2F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85A39"/>
    <w:multiLevelType w:val="hybridMultilevel"/>
    <w:tmpl w:val="1E040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7029"/>
    <w:multiLevelType w:val="hybridMultilevel"/>
    <w:tmpl w:val="187E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C4418"/>
    <w:multiLevelType w:val="hybridMultilevel"/>
    <w:tmpl w:val="CA78F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B2"/>
    <w:rsid w:val="00046E70"/>
    <w:rsid w:val="000A4092"/>
    <w:rsid w:val="000F76A7"/>
    <w:rsid w:val="00145951"/>
    <w:rsid w:val="00223C92"/>
    <w:rsid w:val="003036A9"/>
    <w:rsid w:val="00324622"/>
    <w:rsid w:val="0036532B"/>
    <w:rsid w:val="00410DF5"/>
    <w:rsid w:val="005751B2"/>
    <w:rsid w:val="00642A86"/>
    <w:rsid w:val="00736B8A"/>
    <w:rsid w:val="008D799B"/>
    <w:rsid w:val="00A65B62"/>
    <w:rsid w:val="00B27004"/>
    <w:rsid w:val="00D31786"/>
    <w:rsid w:val="00D75450"/>
    <w:rsid w:val="00E03A15"/>
    <w:rsid w:val="00E30024"/>
    <w:rsid w:val="00E3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BFCB"/>
  <w15:chartTrackingRefBased/>
  <w15:docId w15:val="{B752E89E-B048-421F-BBD0-7DD4BE54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1B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51B2"/>
    <w:pPr>
      <w:keepNext/>
      <w:keepLines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1B2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1B2"/>
    <w:rPr>
      <w:rFonts w:eastAsiaTheme="majorEastAsia" w:cstheme="majorBidi"/>
      <w:b/>
      <w:color w:val="4472C4" w:themeColor="accen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51B2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57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1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D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7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04"/>
  </w:style>
  <w:style w:type="paragraph" w:styleId="Footer">
    <w:name w:val="footer"/>
    <w:basedOn w:val="Normal"/>
    <w:link w:val="FooterChar"/>
    <w:uiPriority w:val="99"/>
    <w:unhideWhenUsed/>
    <w:rsid w:val="00B27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hncbc.nlm.nih.gov/scrubber/" TargetMode="External"/><Relationship Id="rId13" Type="http://schemas.openxmlformats.org/officeDocument/2006/relationships/hyperlink" Target="https://cloud.google.com/healthcare-api/doc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ubmed.ncbi.nlm.nih.gov/32477643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kyflo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services.library.jhu.edu/resources/applications-to-assist-in-de-identification-of-human-subjects-research-dat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ohnsnowlabs.com/" TargetMode="External"/><Relationship Id="rId10" Type="http://schemas.openxmlformats.org/officeDocument/2006/relationships/hyperlink" Target="https://list.nih.gov/cgi-bin/wa.exe?A0=NLM-SCRUBBER-ANNOUN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ta.lhncbc.nlm.nih.gov/public/scrubber/files/user_manual/windows/user_manual_v.19.0411W.pdf" TargetMode="External"/><Relationship Id="rId14" Type="http://schemas.openxmlformats.org/officeDocument/2006/relationships/hyperlink" Target="https://aircloak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ie.pierce-farrier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Pierce-Farrier, Katie</cp:lastModifiedBy>
  <cp:revision>9</cp:revision>
  <dcterms:created xsi:type="dcterms:W3CDTF">2022-04-29T15:06:00Z</dcterms:created>
  <dcterms:modified xsi:type="dcterms:W3CDTF">2023-09-29T15:46:00Z</dcterms:modified>
</cp:coreProperties>
</file>