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44"/>
        <w:tblW w:w="10309" w:type="dxa"/>
        <w:tblLook w:val="04A0" w:firstRow="1" w:lastRow="0" w:firstColumn="1" w:lastColumn="0" w:noHBand="0" w:noVBand="1"/>
      </w:tblPr>
      <w:tblGrid>
        <w:gridCol w:w="1615"/>
        <w:gridCol w:w="1800"/>
        <w:gridCol w:w="2160"/>
        <w:gridCol w:w="2430"/>
        <w:gridCol w:w="2304"/>
      </w:tblGrid>
      <w:tr w:rsidR="00622CFB" w:rsidRPr="00FB10EA" w14:paraId="4AEB4A3D" w14:textId="77777777" w:rsidTr="004F6D8C">
        <w:trPr>
          <w:trHeight w:val="232"/>
        </w:trPr>
        <w:tc>
          <w:tcPr>
            <w:tcW w:w="1615" w:type="dxa"/>
            <w:shd w:val="clear" w:color="auto" w:fill="auto"/>
          </w:tcPr>
          <w:p w14:paraId="724C47B2" w14:textId="77777777" w:rsidR="00622CFB" w:rsidRPr="00DC6645" w:rsidRDefault="00622CFB" w:rsidP="004F6D8C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Hlk107490608"/>
            <w:r>
              <w:rPr>
                <w:rFonts w:cstheme="minorHAnsi"/>
                <w:b/>
                <w:bCs/>
                <w:sz w:val="20"/>
                <w:szCs w:val="20"/>
              </w:rPr>
              <w:t>Intended Users:</w:t>
            </w:r>
          </w:p>
        </w:tc>
        <w:tc>
          <w:tcPr>
            <w:tcW w:w="1800" w:type="dxa"/>
            <w:shd w:val="clear" w:color="auto" w:fill="F0FAFB"/>
          </w:tcPr>
          <w:p w14:paraId="73676295" w14:textId="77777777" w:rsidR="00622CFB" w:rsidRPr="00DC6645" w:rsidRDefault="00622CFB" w:rsidP="004F6D8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C6645">
              <w:rPr>
                <w:rFonts w:cstheme="minorHAnsi"/>
                <w:b/>
                <w:bCs/>
                <w:sz w:val="20"/>
                <w:szCs w:val="20"/>
              </w:rPr>
              <w:t>Consumers</w:t>
            </w:r>
          </w:p>
        </w:tc>
        <w:tc>
          <w:tcPr>
            <w:tcW w:w="2160" w:type="dxa"/>
            <w:shd w:val="clear" w:color="auto" w:fill="A3DEFF"/>
          </w:tcPr>
          <w:p w14:paraId="603DF61F" w14:textId="77777777" w:rsidR="00622CFB" w:rsidRPr="00DC6645" w:rsidRDefault="00622CFB" w:rsidP="004F6D8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C6645">
              <w:rPr>
                <w:rFonts w:cstheme="minorHAnsi"/>
                <w:b/>
                <w:bCs/>
                <w:sz w:val="20"/>
                <w:szCs w:val="20"/>
              </w:rPr>
              <w:t>Health</w:t>
            </w:r>
            <w:r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 w:rsidRPr="00DC6645">
              <w:rPr>
                <w:rFonts w:cstheme="minorHAnsi"/>
                <w:b/>
                <w:bCs/>
                <w:sz w:val="20"/>
                <w:szCs w:val="20"/>
              </w:rPr>
              <w:t>are Providers</w:t>
            </w:r>
          </w:p>
        </w:tc>
        <w:tc>
          <w:tcPr>
            <w:tcW w:w="2430" w:type="dxa"/>
            <w:shd w:val="clear" w:color="auto" w:fill="D9D9D9"/>
          </w:tcPr>
          <w:p w14:paraId="4417F72D" w14:textId="77777777" w:rsidR="00622CFB" w:rsidRPr="00DC6645" w:rsidRDefault="00622CFB" w:rsidP="004F6D8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C6645">
              <w:rPr>
                <w:rFonts w:cstheme="minorHAnsi"/>
                <w:b/>
                <w:bCs/>
                <w:sz w:val="20"/>
                <w:szCs w:val="20"/>
              </w:rPr>
              <w:t xml:space="preserve">Information Professionals </w:t>
            </w:r>
          </w:p>
        </w:tc>
        <w:tc>
          <w:tcPr>
            <w:tcW w:w="2304" w:type="dxa"/>
            <w:shd w:val="clear" w:color="auto" w:fill="D6E6F6"/>
          </w:tcPr>
          <w:p w14:paraId="6672531C" w14:textId="77777777" w:rsidR="00622CFB" w:rsidRPr="00DC6645" w:rsidRDefault="00622CFB" w:rsidP="004F6D8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C6645">
              <w:rPr>
                <w:rFonts w:cstheme="minorHAnsi"/>
                <w:b/>
                <w:bCs/>
                <w:sz w:val="20"/>
                <w:szCs w:val="20"/>
              </w:rPr>
              <w:t xml:space="preserve">Researchers </w:t>
            </w:r>
          </w:p>
        </w:tc>
      </w:tr>
      <w:bookmarkEnd w:id="0"/>
    </w:tbl>
    <w:p w14:paraId="12C0A447" w14:textId="77777777" w:rsidR="00622CFB" w:rsidRDefault="00622CFB" w:rsidP="006F1FE8"/>
    <w:p w14:paraId="4DA1B4E7" w14:textId="1694A3F2" w:rsidR="006F1FE8" w:rsidRPr="00BB4544" w:rsidRDefault="006F1FE8" w:rsidP="006F1FE8">
      <w:pPr>
        <w:pStyle w:val="Heading1"/>
        <w:rPr>
          <w:rStyle w:val="Heading1Char"/>
          <w:b/>
        </w:rPr>
      </w:pPr>
      <w:bookmarkStart w:id="1" w:name="_Toc96595237"/>
      <w:bookmarkStart w:id="2" w:name="_Toc98762583"/>
      <w:r w:rsidRPr="00794852">
        <w:rPr>
          <w:rStyle w:val="Heading1Char"/>
          <w:b/>
          <w:noProof/>
        </w:rPr>
        <w:drawing>
          <wp:anchor distT="0" distB="0" distL="114300" distR="114300" simplePos="0" relativeHeight="251658752" behindDoc="0" locked="0" layoutInCell="1" allowOverlap="1" wp14:anchorId="73AFF951" wp14:editId="5ECC1D9A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857500" cy="676275"/>
            <wp:effectExtent l="0" t="0" r="0" b="9525"/>
            <wp:wrapSquare wrapText="bothSides"/>
            <wp:docPr id="18" name="Picture 18" descr="MedPi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71" b="16832"/>
                    <a:stretch/>
                  </pic:blipFill>
                  <pic:spPr bwMode="auto">
                    <a:xfrm>
                      <a:off x="0" y="0"/>
                      <a:ext cx="2857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hyperlink r:id="rId11" w:history="1">
        <w:proofErr w:type="spellStart"/>
        <w:r w:rsidRPr="006207EC">
          <w:rPr>
            <w:rStyle w:val="Hyperlink"/>
          </w:rPr>
          <w:t>MedPix</w:t>
        </w:r>
        <w:bookmarkEnd w:id="1"/>
        <w:bookmarkEnd w:id="2"/>
        <w:proofErr w:type="spellEnd"/>
      </w:hyperlink>
    </w:p>
    <w:p w14:paraId="4FA5D277" w14:textId="794CF7F1" w:rsidR="006F1FE8" w:rsidRDefault="006F1FE8" w:rsidP="006F1FE8">
      <w:r w:rsidRPr="00B04AA6">
        <w:rPr>
          <w:b/>
          <w:bCs/>
        </w:rPr>
        <w:t>Description:</w:t>
      </w:r>
      <w:r w:rsidRPr="00B04AA6">
        <w:t xml:space="preserve"> </w:t>
      </w:r>
      <w:bookmarkStart w:id="3" w:name="OLE_LINK1"/>
      <w:proofErr w:type="spellStart"/>
      <w:r>
        <w:t>MedPix</w:t>
      </w:r>
      <w:proofErr w:type="spellEnd"/>
      <w:r>
        <w:t xml:space="preserve"> </w:t>
      </w:r>
      <w:bookmarkEnd w:id="3"/>
      <w:r>
        <w:t>is a</w:t>
      </w:r>
      <w:r w:rsidRPr="00B04AA6">
        <w:t xml:space="preserve"> free</w:t>
      </w:r>
      <w:r>
        <w:t>,</w:t>
      </w:r>
      <w:r w:rsidRPr="00B04AA6">
        <w:t xml:space="preserve"> open-access</w:t>
      </w:r>
      <w:r>
        <w:t xml:space="preserve">, </w:t>
      </w:r>
      <w:r w:rsidRPr="00B04AA6">
        <w:t>online database of medical images, teaching cases, and clinical topics</w:t>
      </w:r>
      <w:r>
        <w:t>. This resource includes over</w:t>
      </w:r>
      <w:r w:rsidRPr="00B04AA6">
        <w:t xml:space="preserve"> 12,000 patient case scenarios</w:t>
      </w:r>
      <w:r w:rsidR="00027BE9">
        <w:t>;</w:t>
      </w:r>
      <w:r w:rsidRPr="00B04AA6">
        <w:t xml:space="preserve"> 9,000 topics</w:t>
      </w:r>
      <w:r w:rsidR="00027BE9">
        <w:t>;</w:t>
      </w:r>
      <w:r w:rsidRPr="00B04AA6">
        <w:t xml:space="preserve"> and nearly 59,000 images. </w:t>
      </w:r>
      <w:r w:rsidRPr="006C43D3">
        <w:t>The content is organized by disease location (organ system)</w:t>
      </w:r>
      <w:r w:rsidR="006207EC">
        <w:t>,</w:t>
      </w:r>
      <w:r w:rsidRPr="006C43D3">
        <w:t xml:space="preserve"> pathology category</w:t>
      </w:r>
      <w:r w:rsidR="006207EC">
        <w:t>,</w:t>
      </w:r>
      <w:r w:rsidRPr="006C43D3">
        <w:t xml:space="preserve"> patient profiles</w:t>
      </w:r>
      <w:r w:rsidR="006207EC">
        <w:t>,</w:t>
      </w:r>
      <w:r w:rsidRPr="006C43D3">
        <w:t xml:space="preserve"> and by image classification and image captions</w:t>
      </w:r>
      <w:r>
        <w:t xml:space="preserve">. </w:t>
      </w:r>
      <w:r w:rsidRPr="00B04AA6">
        <w:t>The collection is searchable by patient symptoms and signs, diagnosis, organ system, image modality and image description, keywords, contributing authors, and many other search options.</w:t>
      </w:r>
      <w:r>
        <w:t xml:space="preserve"> Students and practitioners can use the case studies as practice and physicians may earn continuing medical education (CME) credit.</w:t>
      </w:r>
    </w:p>
    <w:p w14:paraId="68B674F4" w14:textId="055BFC72" w:rsidR="006207EC" w:rsidRDefault="006207EC" w:rsidP="006F1FE8"/>
    <w:p w14:paraId="547AD672" w14:textId="77777777" w:rsidR="006207EC" w:rsidRPr="00345CF2" w:rsidRDefault="006207EC" w:rsidP="00DD15D1">
      <w:pPr>
        <w:pStyle w:val="Heading2"/>
        <w:rPr>
          <w:rFonts w:cstheme="minorHAnsi"/>
          <w:color w:val="000000"/>
          <w:shd w:val="clear" w:color="auto" w:fill="FFFFFF"/>
        </w:rPr>
      </w:pPr>
      <w:r w:rsidRPr="00345CF2">
        <w:t>Popular uses of</w:t>
      </w:r>
      <w:r>
        <w:t xml:space="preserve"> this</w:t>
      </w:r>
      <w:r w:rsidRPr="00345CF2">
        <w:t xml:space="preserve"> product:</w:t>
      </w:r>
    </w:p>
    <w:p w14:paraId="27880330" w14:textId="77777777" w:rsidR="006F1FE8" w:rsidRDefault="006F1FE8" w:rsidP="006F1FE8">
      <w:r>
        <w:t xml:space="preserve"> </w:t>
      </w:r>
    </w:p>
    <w:tbl>
      <w:tblPr>
        <w:tblStyle w:val="TableGrid"/>
        <w:tblW w:w="10368" w:type="dxa"/>
        <w:tblInd w:w="-5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92"/>
        <w:gridCol w:w="2592"/>
        <w:gridCol w:w="2592"/>
        <w:gridCol w:w="2592"/>
      </w:tblGrid>
      <w:tr w:rsidR="006F1FE8" w:rsidRPr="00034B19" w14:paraId="5B500B09" w14:textId="77777777" w:rsidTr="006323EA">
        <w:trPr>
          <w:trHeight w:val="350"/>
        </w:trPr>
        <w:tc>
          <w:tcPr>
            <w:tcW w:w="2592" w:type="dxa"/>
            <w:shd w:val="clear" w:color="auto" w:fill="6C9DCA"/>
            <w:vAlign w:val="bottom"/>
          </w:tcPr>
          <w:p w14:paraId="27EF07C1" w14:textId="3613BB11" w:rsidR="006F1FE8" w:rsidRPr="002325B4" w:rsidRDefault="006F1FE8" w:rsidP="007240C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Healthcare Students</w:t>
            </w:r>
          </w:p>
        </w:tc>
        <w:tc>
          <w:tcPr>
            <w:tcW w:w="2592" w:type="dxa"/>
            <w:shd w:val="clear" w:color="auto" w:fill="A3DEFF"/>
            <w:vAlign w:val="bottom"/>
          </w:tcPr>
          <w:p w14:paraId="18093D40" w14:textId="44BAE799" w:rsidR="006F1FE8" w:rsidRPr="002325B4" w:rsidRDefault="006F1FE8" w:rsidP="007240C2">
            <w:pPr>
              <w:rPr>
                <w:rFonts w:cstheme="minorHAnsi"/>
                <w:b/>
                <w:bCs/>
              </w:rPr>
            </w:pPr>
            <w:r w:rsidRPr="002325B4">
              <w:rPr>
                <w:rFonts w:cstheme="minorHAnsi"/>
                <w:b/>
                <w:bCs/>
              </w:rPr>
              <w:t>Healthcare Providers</w:t>
            </w:r>
          </w:p>
        </w:tc>
        <w:tc>
          <w:tcPr>
            <w:tcW w:w="2592" w:type="dxa"/>
            <w:shd w:val="clear" w:color="auto" w:fill="D9D9D9"/>
            <w:vAlign w:val="bottom"/>
          </w:tcPr>
          <w:p w14:paraId="357F7453" w14:textId="77777777" w:rsidR="006F1FE8" w:rsidRPr="002325B4" w:rsidRDefault="006F1FE8" w:rsidP="007240C2">
            <w:pPr>
              <w:rPr>
                <w:rFonts w:cstheme="minorHAnsi"/>
                <w:b/>
                <w:bCs/>
              </w:rPr>
            </w:pPr>
            <w:r w:rsidRPr="002325B4">
              <w:rPr>
                <w:rFonts w:cstheme="minorHAnsi"/>
                <w:b/>
                <w:bCs/>
              </w:rPr>
              <w:t xml:space="preserve">Information Professionals </w:t>
            </w:r>
          </w:p>
        </w:tc>
        <w:tc>
          <w:tcPr>
            <w:tcW w:w="2592" w:type="dxa"/>
            <w:shd w:val="clear" w:color="auto" w:fill="D6E6F6"/>
            <w:vAlign w:val="bottom"/>
          </w:tcPr>
          <w:p w14:paraId="759E7734" w14:textId="77777777" w:rsidR="006F1FE8" w:rsidRPr="002325B4" w:rsidRDefault="006F1FE8" w:rsidP="007240C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Researchers</w:t>
            </w:r>
          </w:p>
        </w:tc>
      </w:tr>
      <w:tr w:rsidR="006F1FE8" w:rsidRPr="00034B19" w14:paraId="7EA2BB8F" w14:textId="77777777" w:rsidTr="007240C2">
        <w:trPr>
          <w:trHeight w:val="2970"/>
        </w:trPr>
        <w:tc>
          <w:tcPr>
            <w:tcW w:w="2592" w:type="dxa"/>
          </w:tcPr>
          <w:p w14:paraId="28C44FEF" w14:textId="77777777" w:rsidR="006F1FE8" w:rsidRDefault="006F1FE8" w:rsidP="007240C2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rFonts w:cstheme="minorHAnsi"/>
              </w:rPr>
            </w:pPr>
            <w:r>
              <w:rPr>
                <w:rFonts w:cstheme="minorHAnsi"/>
              </w:rPr>
              <w:t xml:space="preserve">Blur out pieces of case information to study and practice diagnostic skills. </w:t>
            </w:r>
          </w:p>
          <w:p w14:paraId="0E3B3A60" w14:textId="77777777" w:rsidR="006F1FE8" w:rsidRDefault="006F1FE8" w:rsidP="007240C2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rFonts w:cstheme="minorHAnsi"/>
              </w:rPr>
            </w:pPr>
            <w:r>
              <w:rPr>
                <w:rFonts w:cstheme="minorHAnsi"/>
              </w:rPr>
              <w:t xml:space="preserve">Practice identifying image findings and abnormalities. </w:t>
            </w:r>
          </w:p>
          <w:p w14:paraId="113B3158" w14:textId="3A81B184" w:rsidR="006F1FE8" w:rsidRDefault="006F1FE8" w:rsidP="007240C2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rFonts w:cstheme="minorHAnsi"/>
              </w:rPr>
            </w:pPr>
            <w:r>
              <w:rPr>
                <w:rFonts w:cstheme="minorHAnsi"/>
              </w:rPr>
              <w:t xml:space="preserve">Practice predicting </w:t>
            </w:r>
            <w:bookmarkStart w:id="4" w:name="OLE_LINK4"/>
            <w:r>
              <w:rPr>
                <w:rFonts w:cstheme="minorHAnsi"/>
              </w:rPr>
              <w:t xml:space="preserve">differential diagnosis </w:t>
            </w:r>
            <w:bookmarkEnd w:id="4"/>
            <w:r>
              <w:rPr>
                <w:rFonts w:cstheme="minorHAnsi"/>
              </w:rPr>
              <w:t>and describing basic next steps</w:t>
            </w:r>
            <w:r w:rsidR="006207EC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592" w:type="dxa"/>
            <w:shd w:val="clear" w:color="auto" w:fill="auto"/>
          </w:tcPr>
          <w:p w14:paraId="26E0C6DA" w14:textId="51347A48" w:rsidR="006F1FE8" w:rsidRDefault="006F1FE8" w:rsidP="007240C2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rFonts w:cstheme="minorHAnsi"/>
              </w:rPr>
            </w:pPr>
            <w:r>
              <w:rPr>
                <w:rFonts w:cstheme="minorHAnsi"/>
              </w:rPr>
              <w:t xml:space="preserve">Earn CME credit as accredited by </w:t>
            </w:r>
            <w:bookmarkStart w:id="5" w:name="OLE_LINK2"/>
            <w:r w:rsidR="006207EC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 xml:space="preserve">International Institute for Continuing Medical Education </w:t>
            </w:r>
            <w:bookmarkEnd w:id="5"/>
            <w:r>
              <w:rPr>
                <w:rFonts w:cstheme="minorHAnsi"/>
              </w:rPr>
              <w:t>(</w:t>
            </w:r>
            <w:bookmarkStart w:id="6" w:name="OLE_LINK3"/>
            <w:r>
              <w:rPr>
                <w:rFonts w:cstheme="minorHAnsi"/>
              </w:rPr>
              <w:t>IICME</w:t>
            </w:r>
            <w:bookmarkEnd w:id="6"/>
            <w:r>
              <w:rPr>
                <w:rFonts w:cstheme="minorHAnsi"/>
              </w:rPr>
              <w:t>).</w:t>
            </w:r>
          </w:p>
          <w:p w14:paraId="1839506C" w14:textId="77777777" w:rsidR="006F1FE8" w:rsidRDefault="006F1FE8" w:rsidP="007240C2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rFonts w:cstheme="minorHAnsi"/>
              </w:rPr>
            </w:pPr>
            <w:r>
              <w:rPr>
                <w:rFonts w:cstheme="minorHAnsi"/>
              </w:rPr>
              <w:t xml:space="preserve">Browse cases by organ system, diagnosis, or disease category. </w:t>
            </w:r>
          </w:p>
          <w:p w14:paraId="69CEEDB0" w14:textId="77777777" w:rsidR="006F1FE8" w:rsidRPr="00D3200C" w:rsidRDefault="006F1FE8" w:rsidP="007240C2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rFonts w:cstheme="minorHAnsi"/>
              </w:rPr>
            </w:pPr>
            <w:r>
              <w:rPr>
                <w:rFonts w:cstheme="minorHAnsi"/>
              </w:rPr>
              <w:t xml:space="preserve">Upload de-identified cases to share with others. </w:t>
            </w:r>
          </w:p>
        </w:tc>
        <w:tc>
          <w:tcPr>
            <w:tcW w:w="2592" w:type="dxa"/>
            <w:shd w:val="clear" w:color="auto" w:fill="auto"/>
          </w:tcPr>
          <w:p w14:paraId="42816A74" w14:textId="77777777" w:rsidR="006F1FE8" w:rsidRPr="00034B19" w:rsidRDefault="006F1FE8" w:rsidP="007240C2">
            <w:pPr>
              <w:pStyle w:val="ListParagraph"/>
              <w:numPr>
                <w:ilvl w:val="0"/>
                <w:numId w:val="1"/>
              </w:numPr>
              <w:ind w:left="196" w:hanging="196"/>
              <w:rPr>
                <w:rFonts w:cstheme="minorHAnsi"/>
              </w:rPr>
            </w:pPr>
            <w:r>
              <w:rPr>
                <w:rFonts w:cstheme="minorHAnsi"/>
              </w:rPr>
              <w:t xml:space="preserve">Advise patrons on how to contact image contributors if using content for something other than personal use. </w:t>
            </w:r>
          </w:p>
          <w:p w14:paraId="79DDC518" w14:textId="1C83F5B0" w:rsidR="006F1FE8" w:rsidRPr="00034B19" w:rsidRDefault="006F1FE8" w:rsidP="007240C2">
            <w:pPr>
              <w:pStyle w:val="ListParagraph"/>
              <w:numPr>
                <w:ilvl w:val="0"/>
                <w:numId w:val="1"/>
              </w:numPr>
              <w:ind w:left="196" w:hanging="196"/>
              <w:rPr>
                <w:rFonts w:cstheme="minorHAnsi"/>
              </w:rPr>
            </w:pPr>
            <w:r>
              <w:rPr>
                <w:rFonts w:cstheme="minorHAnsi"/>
              </w:rPr>
              <w:t xml:space="preserve">Guide </w:t>
            </w:r>
            <w:r w:rsidR="00314345">
              <w:rPr>
                <w:rFonts w:cstheme="minorHAnsi"/>
              </w:rPr>
              <w:t>people</w:t>
            </w:r>
            <w:r>
              <w:rPr>
                <w:rFonts w:cstheme="minorHAnsi"/>
              </w:rPr>
              <w:t xml:space="preserve"> in setting up a login and recording CME credits. </w:t>
            </w:r>
          </w:p>
        </w:tc>
        <w:tc>
          <w:tcPr>
            <w:tcW w:w="2592" w:type="dxa"/>
          </w:tcPr>
          <w:p w14:paraId="4BDF2B92" w14:textId="6279F733" w:rsidR="006F1FE8" w:rsidRDefault="006F1FE8" w:rsidP="007240C2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rFonts w:cstheme="minorHAnsi"/>
              </w:rPr>
            </w:pPr>
            <w:r>
              <w:rPr>
                <w:rFonts w:cstheme="minorHAnsi"/>
              </w:rPr>
              <w:t xml:space="preserve">Earn CME credit as accredited by </w:t>
            </w:r>
            <w:r w:rsidR="00C309BB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IICME.</w:t>
            </w:r>
          </w:p>
          <w:p w14:paraId="4B9751A3" w14:textId="77777777" w:rsidR="006F1FE8" w:rsidRDefault="006F1FE8" w:rsidP="007240C2">
            <w:pPr>
              <w:pStyle w:val="ListParagraph"/>
              <w:numPr>
                <w:ilvl w:val="0"/>
                <w:numId w:val="1"/>
              </w:numPr>
              <w:ind w:left="196" w:hanging="196"/>
              <w:rPr>
                <w:rFonts w:cstheme="minorHAnsi"/>
              </w:rPr>
            </w:pPr>
            <w:r>
              <w:rPr>
                <w:rFonts w:cstheme="minorHAnsi"/>
              </w:rPr>
              <w:t>Upload de-identified cases to share with others.</w:t>
            </w:r>
          </w:p>
          <w:p w14:paraId="0723ACA4" w14:textId="584AF336" w:rsidR="006F1FE8" w:rsidRPr="00A05BE0" w:rsidRDefault="006F1FE8" w:rsidP="007240C2">
            <w:pPr>
              <w:pStyle w:val="ListParagraph"/>
              <w:numPr>
                <w:ilvl w:val="0"/>
                <w:numId w:val="1"/>
              </w:numPr>
              <w:ind w:left="196" w:hanging="196"/>
              <w:rPr>
                <w:rFonts w:cstheme="minorHAnsi"/>
              </w:rPr>
            </w:pPr>
            <w:r>
              <w:rPr>
                <w:rFonts w:cstheme="minorHAnsi"/>
              </w:rPr>
              <w:t>Follow</w:t>
            </w:r>
            <w:r w:rsidR="006323EA">
              <w:rPr>
                <w:rFonts w:cstheme="minorHAnsi"/>
              </w:rPr>
              <w:t xml:space="preserve"> </w:t>
            </w:r>
            <w:r w:rsidR="00C309BB">
              <w:rPr>
                <w:rFonts w:cstheme="minorHAnsi"/>
              </w:rPr>
              <w:t xml:space="preserve">the </w:t>
            </w:r>
            <w:r w:rsidR="006323EA">
              <w:rPr>
                <w:rFonts w:cstheme="minorHAnsi"/>
              </w:rPr>
              <w:t>“</w:t>
            </w:r>
            <w:r>
              <w:rPr>
                <w:rFonts w:cstheme="minorHAnsi"/>
              </w:rPr>
              <w:t>Case of Week</w:t>
            </w:r>
            <w:r w:rsidR="006323EA">
              <w:rPr>
                <w:rFonts w:cstheme="minorHAnsi"/>
              </w:rPr>
              <w:t>”</w:t>
            </w:r>
            <w:r>
              <w:rPr>
                <w:rFonts w:cstheme="minorHAnsi"/>
              </w:rPr>
              <w:t xml:space="preserve"> to see a new case each week. </w:t>
            </w:r>
          </w:p>
        </w:tc>
      </w:tr>
    </w:tbl>
    <w:p w14:paraId="44024EB1" w14:textId="77777777" w:rsidR="006F1FE8" w:rsidRDefault="006F1FE8" w:rsidP="006F1FE8">
      <w:r w:rsidRPr="00034B19">
        <w:rPr>
          <w:rFonts w:cstheme="minorHAnsi"/>
          <w:b/>
          <w:bCs/>
        </w:rPr>
        <w:t xml:space="preserve">Key Points: </w:t>
      </w:r>
    </w:p>
    <w:p w14:paraId="2791ABF4" w14:textId="77777777" w:rsidR="006F1FE8" w:rsidRPr="004014F5" w:rsidRDefault="006F1FE8" w:rsidP="006F1FE8">
      <w:pPr>
        <w:pStyle w:val="ListParagraph"/>
        <w:numPr>
          <w:ilvl w:val="0"/>
          <w:numId w:val="3"/>
        </w:numPr>
        <w:rPr>
          <w:rFonts w:cstheme="minorHAnsi"/>
          <w:b/>
          <w:bCs/>
        </w:rPr>
      </w:pPr>
      <w:r>
        <w:rPr>
          <w:rFonts w:cstheme="minorHAnsi"/>
        </w:rPr>
        <w:t xml:space="preserve">Use </w:t>
      </w:r>
      <w:proofErr w:type="spellStart"/>
      <w:r>
        <w:rPr>
          <w:rFonts w:cstheme="minorHAnsi"/>
        </w:rPr>
        <w:t>MedPix</w:t>
      </w:r>
      <w:proofErr w:type="spellEnd"/>
      <w:r>
        <w:rPr>
          <w:rFonts w:cstheme="minorHAnsi"/>
        </w:rPr>
        <w:t xml:space="preserve"> to study cases and earn CME credit. Key information about case</w:t>
      </w:r>
      <w:r w:rsidR="006323EA">
        <w:rPr>
          <w:rFonts w:cstheme="minorHAnsi"/>
        </w:rPr>
        <w:t>s</w:t>
      </w:r>
      <w:r>
        <w:rPr>
          <w:rFonts w:cstheme="minorHAnsi"/>
        </w:rPr>
        <w:t xml:space="preserve"> can be blurred out to help people study and formulate practice answers. Each case can </w:t>
      </w:r>
      <w:r w:rsidR="006323EA">
        <w:rPr>
          <w:rFonts w:cstheme="minorHAnsi"/>
        </w:rPr>
        <w:t>earn</w:t>
      </w:r>
      <w:r>
        <w:rPr>
          <w:rFonts w:cstheme="minorHAnsi"/>
        </w:rPr>
        <w:t xml:space="preserve"> up to a half hour of CME credit. </w:t>
      </w:r>
    </w:p>
    <w:p w14:paraId="1A7E6657" w14:textId="15922E15" w:rsidR="006F1FE8" w:rsidRPr="004014F5" w:rsidRDefault="006F1FE8" w:rsidP="006F1FE8">
      <w:pPr>
        <w:pStyle w:val="ListParagraph"/>
        <w:numPr>
          <w:ilvl w:val="0"/>
          <w:numId w:val="3"/>
        </w:numPr>
        <w:rPr>
          <w:rFonts w:cstheme="minorHAnsi"/>
        </w:rPr>
      </w:pPr>
      <w:r w:rsidRPr="004014F5">
        <w:rPr>
          <w:rFonts w:cstheme="minorHAnsi"/>
        </w:rPr>
        <w:t xml:space="preserve">Cases on </w:t>
      </w:r>
      <w:proofErr w:type="spellStart"/>
      <w:r w:rsidRPr="004014F5">
        <w:rPr>
          <w:rFonts w:cstheme="minorHAnsi"/>
        </w:rPr>
        <w:t>MedPix</w:t>
      </w:r>
      <w:proofErr w:type="spellEnd"/>
      <w:r w:rsidRPr="004014F5">
        <w:rPr>
          <w:rFonts w:cstheme="minorHAnsi"/>
        </w:rPr>
        <w:t xml:space="preserve"> can be used</w:t>
      </w:r>
      <w:r>
        <w:rPr>
          <w:rFonts w:cstheme="minorHAnsi"/>
        </w:rPr>
        <w:t xml:space="preserve"> </w:t>
      </w:r>
      <w:r w:rsidR="006323EA">
        <w:rPr>
          <w:rFonts w:cstheme="minorHAnsi"/>
        </w:rPr>
        <w:t xml:space="preserve">for </w:t>
      </w:r>
      <w:r>
        <w:rPr>
          <w:rFonts w:cstheme="minorHAnsi"/>
        </w:rPr>
        <w:t xml:space="preserve">teaching at your institution or </w:t>
      </w:r>
      <w:r w:rsidR="00197E3A">
        <w:rPr>
          <w:rFonts w:cstheme="minorHAnsi"/>
        </w:rPr>
        <w:t xml:space="preserve">for </w:t>
      </w:r>
      <w:r>
        <w:rPr>
          <w:rFonts w:cstheme="minorHAnsi"/>
        </w:rPr>
        <w:t xml:space="preserve">personal use, otherwise permission from the contributor must be granted. </w:t>
      </w:r>
    </w:p>
    <w:p w14:paraId="7E28E201" w14:textId="77777777" w:rsidR="006F1FE8" w:rsidRPr="004014F5" w:rsidRDefault="006F1FE8" w:rsidP="006323EA">
      <w:pPr>
        <w:pStyle w:val="Heading2"/>
      </w:pPr>
      <w:r w:rsidRPr="004014F5">
        <w:t xml:space="preserve">Potential </w:t>
      </w:r>
      <w:r>
        <w:t>Predicaments</w:t>
      </w:r>
      <w:r w:rsidRPr="004014F5">
        <w:t xml:space="preserve">: </w:t>
      </w:r>
    </w:p>
    <w:p w14:paraId="01734EBB" w14:textId="7C0D5037" w:rsidR="006F1FE8" w:rsidRPr="004014F5" w:rsidRDefault="00BA670F" w:rsidP="006F1FE8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>
        <w:rPr>
          <w:rFonts w:cstheme="minorHAnsi"/>
        </w:rPr>
        <w:t>People</w:t>
      </w:r>
      <w:r w:rsidR="006F1FE8">
        <w:rPr>
          <w:rFonts w:cstheme="minorHAnsi"/>
        </w:rPr>
        <w:t xml:space="preserve"> must create an account to earn and track CME credit, but the site is free to use.  </w:t>
      </w:r>
    </w:p>
    <w:p w14:paraId="3FA013E8" w14:textId="77777777" w:rsidR="006F1FE8" w:rsidRPr="00574CB5" w:rsidRDefault="006F1FE8" w:rsidP="006F1FE8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>
        <w:rPr>
          <w:rFonts w:cstheme="minorHAnsi"/>
        </w:rPr>
        <w:t xml:space="preserve">Quizzes are available on different organ systems and diseases, but not every case will have an associated </w:t>
      </w:r>
      <w:r w:rsidRPr="00574CB5">
        <w:rPr>
          <w:rFonts w:cstheme="minorHAnsi"/>
        </w:rPr>
        <w:t xml:space="preserve">quiz. </w:t>
      </w:r>
    </w:p>
    <w:p w14:paraId="7B28790E" w14:textId="77777777" w:rsidR="006F1FE8" w:rsidRPr="004014F5" w:rsidRDefault="006F1FE8" w:rsidP="006323EA">
      <w:pPr>
        <w:pStyle w:val="Heading2"/>
      </w:pPr>
      <w:r w:rsidRPr="00574CB5">
        <w:t>Teaching Examples:</w:t>
      </w:r>
    </w:p>
    <w:p w14:paraId="5AB90838" w14:textId="6BEEC807" w:rsidR="006F1FE8" w:rsidRPr="008326F8" w:rsidRDefault="006F1FE8" w:rsidP="006F1FE8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>
        <w:rPr>
          <w:rFonts w:cstheme="minorHAnsi"/>
        </w:rPr>
        <w:t xml:space="preserve">For information professionals, have participants look under </w:t>
      </w:r>
      <w:r w:rsidR="006323EA">
        <w:rPr>
          <w:rFonts w:cstheme="minorHAnsi"/>
        </w:rPr>
        <w:t>“</w:t>
      </w:r>
      <w:r>
        <w:rPr>
          <w:rFonts w:cstheme="minorHAnsi"/>
        </w:rPr>
        <w:t>Topics</w:t>
      </w:r>
      <w:r w:rsidR="006323EA">
        <w:rPr>
          <w:rFonts w:cstheme="minorHAnsi"/>
        </w:rPr>
        <w:t>”</w:t>
      </w:r>
      <w:r>
        <w:rPr>
          <w:rFonts w:cstheme="minorHAnsi"/>
        </w:rPr>
        <w:t xml:space="preserve"> </w:t>
      </w:r>
      <w:r w:rsidR="00197E3A">
        <w:rPr>
          <w:rFonts w:cstheme="minorHAnsi"/>
        </w:rPr>
        <w:t xml:space="preserve">and </w:t>
      </w:r>
      <w:r>
        <w:rPr>
          <w:rFonts w:cstheme="minorHAnsi"/>
        </w:rPr>
        <w:t xml:space="preserve">then select “Cardiovascular” under the Location tab. Select a case. Next to the image, find the licensing terms. Find the contributing author’s name and institution.  </w:t>
      </w:r>
    </w:p>
    <w:p w14:paraId="077D292F" w14:textId="35A93827" w:rsidR="006F1FE8" w:rsidRPr="008326F8" w:rsidRDefault="006F1FE8" w:rsidP="006F1FE8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>
        <w:rPr>
          <w:rFonts w:cstheme="minorHAnsi"/>
        </w:rPr>
        <w:t xml:space="preserve">For healthcare professionals, review the </w:t>
      </w:r>
      <w:r w:rsidR="006323EA">
        <w:rPr>
          <w:rFonts w:cstheme="minorHAnsi"/>
        </w:rPr>
        <w:t>“</w:t>
      </w:r>
      <w:r>
        <w:rPr>
          <w:rFonts w:cstheme="minorHAnsi"/>
        </w:rPr>
        <w:t>Case of the Week</w:t>
      </w:r>
      <w:r w:rsidR="00197E3A">
        <w:rPr>
          <w:rFonts w:cstheme="minorHAnsi"/>
        </w:rPr>
        <w:t>.</w:t>
      </w:r>
      <w:r w:rsidR="006323EA">
        <w:rPr>
          <w:rFonts w:cstheme="minorHAnsi"/>
        </w:rPr>
        <w:t>”</w:t>
      </w:r>
      <w:r>
        <w:rPr>
          <w:rFonts w:cstheme="minorHAnsi"/>
        </w:rPr>
        <w:t xml:space="preserve"> With the case information blurred, have participants discuss the plane, modality, findings, or other case information. Click on each section to unblur. Have participants take the associated quiz. </w:t>
      </w:r>
    </w:p>
    <w:p w14:paraId="67A1A592" w14:textId="77777777" w:rsidR="006F1FE8" w:rsidRPr="008326F8" w:rsidRDefault="006F1FE8" w:rsidP="006323EA">
      <w:pPr>
        <w:pStyle w:val="Heading2"/>
      </w:pPr>
      <w:r w:rsidRPr="008326F8">
        <w:t>Real Life Examples:</w:t>
      </w:r>
    </w:p>
    <w:p w14:paraId="3F59C667" w14:textId="37DBF7E0" w:rsidR="006F1FE8" w:rsidRPr="00661E3F" w:rsidRDefault="006F1FE8" w:rsidP="006F1FE8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rFonts w:cstheme="minorHAnsi"/>
        </w:rPr>
        <w:t>A medical student has a</w:t>
      </w:r>
      <w:r w:rsidR="006323EA">
        <w:rPr>
          <w:rFonts w:cstheme="minorHAnsi"/>
        </w:rPr>
        <w:t>n upcoming</w:t>
      </w:r>
      <w:r>
        <w:rPr>
          <w:rFonts w:cstheme="minorHAnsi"/>
        </w:rPr>
        <w:t xml:space="preserve"> test </w:t>
      </w:r>
      <w:r w:rsidRPr="006F1FE8">
        <w:rPr>
          <w:rFonts w:cstheme="minorHAnsi"/>
        </w:rPr>
        <w:t>on the gastrointestinal</w:t>
      </w:r>
      <w:r>
        <w:rPr>
          <w:rFonts w:cstheme="minorHAnsi"/>
        </w:rPr>
        <w:t xml:space="preserve"> tract. Under </w:t>
      </w:r>
      <w:r w:rsidR="006323EA">
        <w:rPr>
          <w:rFonts w:cstheme="minorHAnsi"/>
        </w:rPr>
        <w:t xml:space="preserve">the </w:t>
      </w:r>
      <w:r>
        <w:rPr>
          <w:rFonts w:cstheme="minorHAnsi"/>
        </w:rPr>
        <w:t xml:space="preserve">CME tab, they select </w:t>
      </w:r>
      <w:hyperlink r:id="rId12" w:history="1">
        <w:r w:rsidRPr="008428CD">
          <w:rPr>
            <w:rStyle w:val="Hyperlink"/>
            <w:rFonts w:cstheme="minorHAnsi"/>
          </w:rPr>
          <w:t xml:space="preserve">Quiz </w:t>
        </w:r>
        <w:r w:rsidR="00BA670F">
          <w:rPr>
            <w:rStyle w:val="Hyperlink"/>
            <w:rFonts w:cstheme="minorHAnsi"/>
          </w:rPr>
          <w:t>b</w:t>
        </w:r>
        <w:r w:rsidRPr="008428CD">
          <w:rPr>
            <w:rStyle w:val="Hyperlink"/>
            <w:rFonts w:cstheme="minorHAnsi"/>
          </w:rPr>
          <w:t>y Orga</w:t>
        </w:r>
        <w:r w:rsidRPr="008428CD">
          <w:rPr>
            <w:rStyle w:val="Hyperlink"/>
            <w:rFonts w:cstheme="minorHAnsi"/>
          </w:rPr>
          <w:t>n</w:t>
        </w:r>
        <w:r w:rsidRPr="008428CD">
          <w:rPr>
            <w:rStyle w:val="Hyperlink"/>
            <w:rFonts w:cstheme="minorHAnsi"/>
          </w:rPr>
          <w:t xml:space="preserve"> System</w:t>
        </w:r>
      </w:hyperlink>
      <w:r>
        <w:rPr>
          <w:rFonts w:cstheme="minorHAnsi"/>
        </w:rPr>
        <w:t xml:space="preserve"> to find quizzes on the gastrointestinal organ system to help them study. </w:t>
      </w:r>
    </w:p>
    <w:p w14:paraId="721D3AA0" w14:textId="2F3E5949" w:rsidR="006F1FE8" w:rsidRPr="00661E3F" w:rsidRDefault="006F1FE8" w:rsidP="006F1FE8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rFonts w:cstheme="minorHAnsi"/>
        </w:rPr>
        <w:lastRenderedPageBreak/>
        <w:t>A family physician needs to complete a few more hours of CME credit. They log</w:t>
      </w:r>
      <w:r w:rsidR="00197E3A">
        <w:rPr>
          <w:rFonts w:cstheme="minorHAnsi"/>
        </w:rPr>
        <w:t xml:space="preserve"> </w:t>
      </w:r>
      <w:r>
        <w:rPr>
          <w:rFonts w:cstheme="minorHAnsi"/>
        </w:rPr>
        <w:t xml:space="preserve">in to their account and find a few interesting cases to complete the requirement. </w:t>
      </w:r>
    </w:p>
    <w:p w14:paraId="665F0AD4" w14:textId="77777777" w:rsidR="006F1FE8" w:rsidRDefault="006F1FE8" w:rsidP="006323EA">
      <w:pPr>
        <w:pStyle w:val="Heading2"/>
      </w:pPr>
      <w:r w:rsidRPr="00661E3F">
        <w:t xml:space="preserve">More Information: </w:t>
      </w:r>
    </w:p>
    <w:p w14:paraId="672F46D9" w14:textId="77777777" w:rsidR="00000000" w:rsidRDefault="006F1FE8">
      <w:hyperlink r:id="rId13" w:history="1">
        <w:r w:rsidRPr="006F3A7D">
          <w:rPr>
            <w:rStyle w:val="Hyperlink"/>
          </w:rPr>
          <w:t>How to Earn CM</w:t>
        </w:r>
        <w:r w:rsidRPr="006F3A7D">
          <w:rPr>
            <w:rStyle w:val="Hyperlink"/>
          </w:rPr>
          <w:t>E</w:t>
        </w:r>
        <w:r w:rsidRPr="006F3A7D">
          <w:rPr>
            <w:rStyle w:val="Hyperlink"/>
          </w:rPr>
          <w:t xml:space="preserve"> Credit</w:t>
        </w:r>
      </w:hyperlink>
      <w:r>
        <w:tab/>
      </w:r>
      <w:hyperlink r:id="rId14" w:history="1">
        <w:r w:rsidRPr="006F3A7D">
          <w:rPr>
            <w:rStyle w:val="Hyperlink"/>
          </w:rPr>
          <w:t>CME Accre</w:t>
        </w:r>
        <w:r w:rsidRPr="006F3A7D">
          <w:rPr>
            <w:rStyle w:val="Hyperlink"/>
          </w:rPr>
          <w:t>d</w:t>
        </w:r>
        <w:r w:rsidRPr="006F3A7D">
          <w:rPr>
            <w:rStyle w:val="Hyperlink"/>
          </w:rPr>
          <w:t xml:space="preserve">itation </w:t>
        </w:r>
      </w:hyperlink>
      <w:r>
        <w:tab/>
      </w:r>
      <w:r>
        <w:tab/>
      </w:r>
      <w:hyperlink r:id="rId15" w:history="1">
        <w:r w:rsidRPr="00D76460">
          <w:rPr>
            <w:rStyle w:val="Hyperlink"/>
          </w:rPr>
          <w:t>Contr</w:t>
        </w:r>
        <w:r w:rsidRPr="00D76460">
          <w:rPr>
            <w:rStyle w:val="Hyperlink"/>
          </w:rPr>
          <w:t>i</w:t>
        </w:r>
        <w:r w:rsidRPr="00D76460">
          <w:rPr>
            <w:rStyle w:val="Hyperlink"/>
          </w:rPr>
          <w:t xml:space="preserve">bute a Case </w:t>
        </w:r>
      </w:hyperlink>
      <w:r>
        <w:t xml:space="preserve">  </w:t>
      </w:r>
    </w:p>
    <w:sectPr w:rsidR="00993F31" w:rsidSect="006F1FE8">
      <w:footerReference w:type="defaul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EEE70" w14:textId="77777777" w:rsidR="00201CCC" w:rsidRDefault="00201CCC" w:rsidP="00162D09">
      <w:r>
        <w:separator/>
      </w:r>
    </w:p>
  </w:endnote>
  <w:endnote w:type="continuationSeparator" w:id="0">
    <w:p w14:paraId="5A386AC6" w14:textId="77777777" w:rsidR="00201CCC" w:rsidRDefault="00201CCC" w:rsidP="0016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0956C" w14:textId="6801EA65" w:rsidR="00622CFB" w:rsidRPr="00307A22" w:rsidRDefault="00622CFB" w:rsidP="00622CFB">
    <w:pPr>
      <w:pStyle w:val="Footer"/>
      <w:jc w:val="center"/>
      <w:rPr>
        <w:sz w:val="18"/>
      </w:rPr>
    </w:pPr>
    <w:bookmarkStart w:id="7" w:name="_Hlk107491073"/>
    <w:r w:rsidRPr="00307A22">
      <w:rPr>
        <w:sz w:val="18"/>
      </w:rPr>
      <w:t xml:space="preserve">Updated: </w:t>
    </w:r>
    <w:r w:rsidR="00DD15D1">
      <w:rPr>
        <w:sz w:val="18"/>
      </w:rPr>
      <w:t>03/18/2025</w:t>
    </w:r>
    <w:r>
      <w:rPr>
        <w:sz w:val="18"/>
      </w:rPr>
      <w:t>;</w:t>
    </w:r>
    <w:r w:rsidRPr="00307A22">
      <w:rPr>
        <w:sz w:val="18"/>
      </w:rPr>
      <w:t xml:space="preserve"> Contact </w:t>
    </w:r>
    <w:hyperlink r:id="rId1" w:history="1">
      <w:r w:rsidRPr="00F33133">
        <w:rPr>
          <w:rStyle w:val="Hyperlink"/>
          <w:sz w:val="18"/>
        </w:rPr>
        <w:t>katie.pierce-farrier@unthsc.edu</w:t>
      </w:r>
    </w:hyperlink>
    <w:r>
      <w:rPr>
        <w:sz w:val="18"/>
      </w:rPr>
      <w:t xml:space="preserve"> for more information about product guide. </w:t>
    </w:r>
  </w:p>
  <w:p w14:paraId="5BA13E87" w14:textId="77777777" w:rsidR="00622CFB" w:rsidRPr="00307A22" w:rsidRDefault="00622CFB" w:rsidP="00622CFB">
    <w:pPr>
      <w:pStyle w:val="Footer"/>
      <w:rPr>
        <w:sz w:val="18"/>
      </w:rPr>
    </w:pPr>
    <w:r w:rsidRPr="00307A22">
      <w:rPr>
        <w:sz w:val="18"/>
      </w:rPr>
      <w:t>Content contributed and edited by</w:t>
    </w:r>
    <w:r>
      <w:rPr>
        <w:sz w:val="18"/>
      </w:rPr>
      <w:t xml:space="preserve"> </w:t>
    </w:r>
    <w:r>
      <w:rPr>
        <w:rFonts w:ascii="Calibri" w:hAnsi="Calibri" w:cs="Calibri"/>
        <w:sz w:val="18"/>
        <w:shd w:val="clear" w:color="auto" w:fill="FFFFFF"/>
      </w:rPr>
      <w:t>National Library of Medicine</w:t>
    </w:r>
    <w:r w:rsidRPr="00307A22">
      <w:rPr>
        <w:rFonts w:ascii="Calibri" w:hAnsi="Calibri" w:cs="Calibri"/>
        <w:sz w:val="18"/>
        <w:shd w:val="clear" w:color="auto" w:fill="FFFFFF"/>
      </w:rPr>
      <w:t xml:space="preserve"> and</w:t>
    </w:r>
    <w:r w:rsidRPr="00307A22">
      <w:rPr>
        <w:sz w:val="18"/>
      </w:rPr>
      <w:t xml:space="preserve"> </w:t>
    </w:r>
    <w:r>
      <w:rPr>
        <w:sz w:val="18"/>
      </w:rPr>
      <w:t xml:space="preserve">University </w:t>
    </w:r>
    <w:r w:rsidRPr="00307A22">
      <w:rPr>
        <w:sz w:val="18"/>
      </w:rPr>
      <w:t>of North Texas</w:t>
    </w:r>
    <w:r>
      <w:rPr>
        <w:sz w:val="18"/>
      </w:rPr>
      <w:t xml:space="preserve"> Health Science Center</w:t>
    </w:r>
    <w:r w:rsidRPr="00307A22">
      <w:rPr>
        <w:sz w:val="18"/>
      </w:rPr>
      <w:t xml:space="preserve"> Lewis Library </w:t>
    </w:r>
  </w:p>
  <w:bookmarkEnd w:id="7"/>
  <w:p w14:paraId="617A4AA0" w14:textId="5C6CAB32" w:rsidR="00162D09" w:rsidRPr="00622CFB" w:rsidRDefault="00162D09" w:rsidP="00622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A6C49" w14:textId="77777777" w:rsidR="00201CCC" w:rsidRDefault="00201CCC" w:rsidP="00162D09">
      <w:r>
        <w:separator/>
      </w:r>
    </w:p>
  </w:footnote>
  <w:footnote w:type="continuationSeparator" w:id="0">
    <w:p w14:paraId="0BC0E728" w14:textId="77777777" w:rsidR="00201CCC" w:rsidRDefault="00201CCC" w:rsidP="00162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A7DDC"/>
    <w:multiLevelType w:val="hybridMultilevel"/>
    <w:tmpl w:val="661CE188"/>
    <w:lvl w:ilvl="0" w:tplc="9FE6C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11FB2"/>
    <w:multiLevelType w:val="hybridMultilevel"/>
    <w:tmpl w:val="E2FA2F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8421C"/>
    <w:multiLevelType w:val="hybridMultilevel"/>
    <w:tmpl w:val="1E0401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77029"/>
    <w:multiLevelType w:val="hybridMultilevel"/>
    <w:tmpl w:val="187E0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105A5E"/>
    <w:multiLevelType w:val="hybridMultilevel"/>
    <w:tmpl w:val="CA78F5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387359">
    <w:abstractNumId w:val="3"/>
  </w:num>
  <w:num w:numId="2" w16cid:durableId="1434128987">
    <w:abstractNumId w:val="0"/>
  </w:num>
  <w:num w:numId="3" w16cid:durableId="1680279529">
    <w:abstractNumId w:val="1"/>
  </w:num>
  <w:num w:numId="4" w16cid:durableId="1323973684">
    <w:abstractNumId w:val="2"/>
  </w:num>
  <w:num w:numId="5" w16cid:durableId="1440418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E8"/>
    <w:rsid w:val="00027BE9"/>
    <w:rsid w:val="0013278A"/>
    <w:rsid w:val="00162D09"/>
    <w:rsid w:val="00197E3A"/>
    <w:rsid w:val="00201CCC"/>
    <w:rsid w:val="003036A9"/>
    <w:rsid w:val="00314345"/>
    <w:rsid w:val="00464445"/>
    <w:rsid w:val="004940FA"/>
    <w:rsid w:val="005A05DA"/>
    <w:rsid w:val="006207EC"/>
    <w:rsid w:val="00622CFB"/>
    <w:rsid w:val="006323EA"/>
    <w:rsid w:val="006F1FE8"/>
    <w:rsid w:val="00785E5C"/>
    <w:rsid w:val="007A5C96"/>
    <w:rsid w:val="007B02C6"/>
    <w:rsid w:val="009B5C73"/>
    <w:rsid w:val="009B6CA3"/>
    <w:rsid w:val="00AC05F4"/>
    <w:rsid w:val="00B55010"/>
    <w:rsid w:val="00B840D3"/>
    <w:rsid w:val="00BA670F"/>
    <w:rsid w:val="00C15A9E"/>
    <w:rsid w:val="00C309BB"/>
    <w:rsid w:val="00DD075F"/>
    <w:rsid w:val="00DD15D1"/>
    <w:rsid w:val="00DE79E2"/>
    <w:rsid w:val="00E22691"/>
    <w:rsid w:val="00E321AE"/>
    <w:rsid w:val="00F9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3F134"/>
  <w15:chartTrackingRefBased/>
  <w15:docId w15:val="{4F50E672-9F8C-4922-9BB1-074D4DD1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FE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F1FE8"/>
    <w:pPr>
      <w:keepNext/>
      <w:keepLines/>
      <w:outlineLvl w:val="0"/>
    </w:pPr>
    <w:rPr>
      <w:rFonts w:eastAsiaTheme="majorEastAsia" w:cstheme="majorBidi"/>
      <w:b/>
      <w:color w:val="4472C4" w:themeColor="accent1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3EA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FE8"/>
    <w:rPr>
      <w:rFonts w:eastAsiaTheme="majorEastAsia" w:cstheme="majorBidi"/>
      <w:b/>
      <w:color w:val="4472C4" w:themeColor="accent1"/>
      <w:sz w:val="32"/>
      <w:szCs w:val="32"/>
      <w:u w:val="single"/>
    </w:rPr>
  </w:style>
  <w:style w:type="table" w:styleId="TableGrid">
    <w:name w:val="Table Grid"/>
    <w:basedOn w:val="TableNormal"/>
    <w:uiPriority w:val="39"/>
    <w:rsid w:val="006F1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F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1FE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323EA"/>
    <w:rPr>
      <w:rFonts w:eastAsiaTheme="majorEastAsia" w:cstheme="majorBidi"/>
      <w:b/>
      <w:szCs w:val="26"/>
    </w:rPr>
  </w:style>
  <w:style w:type="paragraph" w:styleId="Header">
    <w:name w:val="header"/>
    <w:basedOn w:val="Normal"/>
    <w:link w:val="HeaderChar"/>
    <w:uiPriority w:val="99"/>
    <w:unhideWhenUsed/>
    <w:rsid w:val="00162D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D09"/>
  </w:style>
  <w:style w:type="paragraph" w:styleId="Footer">
    <w:name w:val="footer"/>
    <w:basedOn w:val="Normal"/>
    <w:link w:val="FooterChar"/>
    <w:uiPriority w:val="99"/>
    <w:unhideWhenUsed/>
    <w:rsid w:val="00162D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D09"/>
  </w:style>
  <w:style w:type="paragraph" w:styleId="Revision">
    <w:name w:val="Revision"/>
    <w:hidden/>
    <w:uiPriority w:val="99"/>
    <w:semiHidden/>
    <w:rsid w:val="009B5C7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207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07E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07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7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7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7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C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dpix.nlm.nih.gov/resources/docs/How_to_take_cme_quiz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dpix.nlm.nih.gov/quiz/byorga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dpix.nlm.nih.gov/home" TargetMode="External"/><Relationship Id="rId5" Type="http://schemas.openxmlformats.org/officeDocument/2006/relationships/styles" Target="styles.xml"/><Relationship Id="rId15" Type="http://schemas.openxmlformats.org/officeDocument/2006/relationships/hyperlink" Target="https://cup.nlm.nih.gov/login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dpix.nlm.nih.gov/cmeaccreditatio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tie.pierce-farrier@unth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2ed8e6-e925-4bb9-9e43-02743d1ada3e">
      <Terms xmlns="http://schemas.microsoft.com/office/infopath/2007/PartnerControls"/>
    </lcf76f155ced4ddcb4097134ff3c332f>
    <TaxCatchAll xmlns="918eeb95-5d53-44ad-b9eb-f9b2a90215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E6C46B5B45344AA7F88C7377195756" ma:contentTypeVersion="18" ma:contentTypeDescription="Create a new document." ma:contentTypeScope="" ma:versionID="09bb9ac14a914e9b2e65c958ae1c64be">
  <xsd:schema xmlns:xsd="http://www.w3.org/2001/XMLSchema" xmlns:xs="http://www.w3.org/2001/XMLSchema" xmlns:p="http://schemas.microsoft.com/office/2006/metadata/properties" xmlns:ns2="5e2ed8e6-e925-4bb9-9e43-02743d1ada3e" xmlns:ns3="918eeb95-5d53-44ad-b9eb-f9b2a90215dd" targetNamespace="http://schemas.microsoft.com/office/2006/metadata/properties" ma:root="true" ma:fieldsID="1cb8f3b830be80becba1e1f7a37af167" ns2:_="" ns3:_="">
    <xsd:import namespace="5e2ed8e6-e925-4bb9-9e43-02743d1ada3e"/>
    <xsd:import namespace="918eeb95-5d53-44ad-b9eb-f9b2a9021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ed8e6-e925-4bb9-9e43-02743d1ad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e284ab-3129-4a4f-a33b-1446679d6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eeb95-5d53-44ad-b9eb-f9b2a9021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25f7af-0d2c-4333-8e51-c2d52d22c07c}" ma:internalName="TaxCatchAll" ma:showField="CatchAllData" ma:web="918eeb95-5d53-44ad-b9eb-f9b2a90215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E529C5-D9F4-4518-A5F9-A30ED4402C04}">
  <ds:schemaRefs>
    <ds:schemaRef ds:uri="http://schemas.microsoft.com/office/2006/metadata/properties"/>
    <ds:schemaRef ds:uri="http://schemas.microsoft.com/office/infopath/2007/PartnerControls"/>
    <ds:schemaRef ds:uri="5e2ed8e6-e925-4bb9-9e43-02743d1ada3e"/>
    <ds:schemaRef ds:uri="918eeb95-5d53-44ad-b9eb-f9b2a90215dd"/>
  </ds:schemaRefs>
</ds:datastoreItem>
</file>

<file path=customXml/itemProps2.xml><?xml version="1.0" encoding="utf-8"?>
<ds:datastoreItem xmlns:ds="http://schemas.openxmlformats.org/officeDocument/2006/customXml" ds:itemID="{3439A4A5-2D81-4017-8B7D-007590651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ed8e6-e925-4bb9-9e43-02743d1ada3e"/>
    <ds:schemaRef ds:uri="918eeb95-5d53-44ad-b9eb-f9b2a9021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36497A-2F20-45B8-B110-A7BD50AB821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Pierce-Farrier, Katie</dc:creator>
  <cp:keywords/>
  <dc:description/>
  <cp:lastModifiedBy>Pierce-Farrier, Katie</cp:lastModifiedBy>
  <cp:revision>3</cp:revision>
  <dcterms:created xsi:type="dcterms:W3CDTF">2022-06-30T21:01:00Z</dcterms:created>
  <dcterms:modified xsi:type="dcterms:W3CDTF">2025-03-18T21:31:00Z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0x010100A8E6C46B5B45344AA7F88C7377195756</vt:lpwstr>
  </property>
  <property fmtid="{D5CDD505-2E9C-101B-9397-08002B2CF9AE}" pid="3" name="_dlc_DocIdItemGuid">
    <vt:lpwstr>11e25055-c2de-4525-9166-f433451aa5b7</vt:lpwstr>
  </property>
</Properties>
</file>