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9A67" w14:textId="77A3A911" w:rsidR="00221AD4" w:rsidRDefault="00221AD4"/>
    <w:p w14:paraId="7EC4DF39" w14:textId="7692F235" w:rsidR="008C2BB9" w:rsidRPr="00D504DA" w:rsidRDefault="008C2BB9" w:rsidP="00407EF9">
      <w:pPr>
        <w:pStyle w:val="Heading1"/>
        <w:spacing w:after="240"/>
        <w:jc w:val="center"/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</w:pPr>
      <w:r w:rsidRPr="00D504DA">
        <w:rPr>
          <w:rFonts w:asciiTheme="minorHAnsi" w:hAnsiTheme="minorHAnsi" w:cstheme="minorHAnsi"/>
          <w:b/>
          <w:bCs/>
          <w:sz w:val="36"/>
          <w:szCs w:val="36"/>
          <w:shd w:val="clear" w:color="auto" w:fill="FFFFFF"/>
        </w:rPr>
        <w:t>Tackling Inclusivity and the Future of Oral Health</w:t>
      </w:r>
    </w:p>
    <w:p w14:paraId="203F901A" w14:textId="5F7BE44C" w:rsidR="0040308E" w:rsidRPr="00810E3C" w:rsidRDefault="0040308E" w:rsidP="006A1527">
      <w:pPr>
        <w:pStyle w:val="Heading2"/>
        <w:rPr>
          <w:rFonts w:asciiTheme="minorHAnsi" w:hAnsiTheme="minorHAnsi" w:cstheme="minorHAnsi"/>
          <w:b/>
          <w:bCs/>
          <w:sz w:val="28"/>
          <w:szCs w:val="28"/>
        </w:rPr>
      </w:pPr>
      <w:r w:rsidRPr="00810E3C">
        <w:rPr>
          <w:rFonts w:asciiTheme="minorHAnsi" w:hAnsiTheme="minorHAnsi" w:cstheme="minorHAnsi"/>
          <w:b/>
          <w:bCs/>
          <w:sz w:val="28"/>
          <w:szCs w:val="28"/>
        </w:rPr>
        <w:t>Online Resources</w:t>
      </w:r>
    </w:p>
    <w:p w14:paraId="41EB81F4" w14:textId="212EECCF" w:rsidR="00941C69" w:rsidRPr="00941C69" w:rsidRDefault="00943726" w:rsidP="00941C69">
      <w:hyperlink r:id="rId7" w:history="1">
        <w:r w:rsidR="00941C69" w:rsidRPr="00941C69">
          <w:rPr>
            <w:rStyle w:val="Hyperlink"/>
          </w:rPr>
          <w:t>American Dental Education Association, 2018-19 Dental School Faculty in the United States</w:t>
        </w:r>
      </w:hyperlink>
      <w:r w:rsidR="00941C69" w:rsidRPr="00941C69">
        <w:t xml:space="preserve"> </w:t>
      </w:r>
    </w:p>
    <w:p w14:paraId="763E7373" w14:textId="4E931E0C" w:rsidR="00941C69" w:rsidRDefault="00943726" w:rsidP="00941C69">
      <w:hyperlink r:id="rId8" w:history="1">
        <w:r w:rsidR="00941C69" w:rsidRPr="00941C69">
          <w:rPr>
            <w:rStyle w:val="Hyperlink"/>
          </w:rPr>
          <w:t>"What is Inclusivity?" </w:t>
        </w:r>
        <w:r w:rsidR="00AD5D88" w:rsidRPr="00AD5D88">
          <w:rPr>
            <w:rStyle w:val="Hyperlink"/>
          </w:rPr>
          <w:t xml:space="preserve">by </w:t>
        </w:r>
        <w:r w:rsidR="00AD5D88" w:rsidRPr="00941C69">
          <w:rPr>
            <w:rStyle w:val="Hyperlink"/>
          </w:rPr>
          <w:t>Susanne Ricee</w:t>
        </w:r>
      </w:hyperlink>
      <w:r w:rsidR="00AD5D88">
        <w:t xml:space="preserve"> </w:t>
      </w:r>
    </w:p>
    <w:p w14:paraId="7D144D69" w14:textId="061D58CB" w:rsidR="005B2584" w:rsidRPr="005B2584" w:rsidRDefault="00943726" w:rsidP="005B2584">
      <w:hyperlink r:id="rId9" w:history="1">
        <w:r w:rsidR="00AD5D88">
          <w:rPr>
            <w:rStyle w:val="Hyperlink"/>
          </w:rPr>
          <w:t>Center for the Study of Social Policy. Using an Anti-Racist Intersectional Frame at CSSP</w:t>
        </w:r>
      </w:hyperlink>
    </w:p>
    <w:p w14:paraId="7D228656" w14:textId="677E92F3" w:rsidR="005B2584" w:rsidRPr="005B2584" w:rsidRDefault="00943726" w:rsidP="005B2584">
      <w:hyperlink r:id="rId10" w:history="1">
        <w:r w:rsidR="005B2584" w:rsidRPr="005B2584">
          <w:rPr>
            <w:rStyle w:val="Hyperlink"/>
          </w:rPr>
          <w:t>The Benefits of “Anti-Oppressive” Practice in Mental Health Care</w:t>
        </w:r>
        <w:r w:rsidR="00407EF9" w:rsidRPr="00407EF9">
          <w:rPr>
            <w:rStyle w:val="Hyperlink"/>
          </w:rPr>
          <w:t>.</w:t>
        </w:r>
      </w:hyperlink>
      <w:r w:rsidR="005B2584" w:rsidRPr="005B2584">
        <w:t xml:space="preserve"> </w:t>
      </w:r>
    </w:p>
    <w:p w14:paraId="0BBE4B1C" w14:textId="4117BA8C" w:rsidR="00D63AAC" w:rsidRPr="00D63AAC" w:rsidRDefault="00943726" w:rsidP="00D63AAC">
      <w:hyperlink r:id="rId11" w:history="1">
        <w:r w:rsidR="00D63AAC" w:rsidRPr="00D63AAC">
          <w:rPr>
            <w:rStyle w:val="Hyperlink"/>
          </w:rPr>
          <w:t>American Association of Public Health Dentistry (2021). Anti-Racism in Dental Public Health: A Call to Action</w:t>
        </w:r>
        <w:r w:rsidR="00D63AAC" w:rsidRPr="001336E5">
          <w:rPr>
            <w:rStyle w:val="Hyperlink"/>
          </w:rPr>
          <w:t xml:space="preserve"> </w:t>
        </w:r>
        <w:r w:rsidR="00D63AAC" w:rsidRPr="00D63AAC">
          <w:rPr>
            <w:rStyle w:val="Hyperlink"/>
          </w:rPr>
          <w:t>[White</w:t>
        </w:r>
        <w:r w:rsidR="001336E5">
          <w:rPr>
            <w:rStyle w:val="Hyperlink"/>
          </w:rPr>
          <w:t xml:space="preserve"> </w:t>
        </w:r>
        <w:r w:rsidR="00D63AAC" w:rsidRPr="00D63AAC">
          <w:rPr>
            <w:rStyle w:val="Hyperlink"/>
          </w:rPr>
          <w:t>Paper]. </w:t>
        </w:r>
      </w:hyperlink>
    </w:p>
    <w:p w14:paraId="61F97167" w14:textId="250F5CD7" w:rsidR="001336E5" w:rsidRDefault="00943726" w:rsidP="005B2584">
      <w:hyperlink r:id="rId12" w:history="1">
        <w:r w:rsidR="00D63AAC" w:rsidRPr="001336E5">
          <w:rPr>
            <w:rStyle w:val="Hyperlink"/>
          </w:rPr>
          <w:t>Racial and Ethnic Mix of the Dentist Workforce in the U.S.</w:t>
        </w:r>
      </w:hyperlink>
    </w:p>
    <w:p w14:paraId="108770CC" w14:textId="1C969E68" w:rsidR="00941C69" w:rsidRPr="006A1527" w:rsidRDefault="00943726" w:rsidP="006A1527">
      <w:pPr>
        <w:spacing w:after="240"/>
      </w:pPr>
      <w:hyperlink r:id="rId13" w:history="1">
        <w:r w:rsidR="002A63A4" w:rsidRPr="002A63A4">
          <w:rPr>
            <w:rStyle w:val="Hyperlink"/>
          </w:rPr>
          <w:t xml:space="preserve">Disrupting Whiteness in Libraries and Librarianship: </w:t>
        </w:r>
        <w:r w:rsidR="006A1527" w:rsidRPr="006A1527">
          <w:rPr>
            <w:rStyle w:val="Hyperlink"/>
          </w:rPr>
          <w:t xml:space="preserve"> </w:t>
        </w:r>
        <w:r w:rsidR="002A63A4" w:rsidRPr="002A63A4">
          <w:rPr>
            <w:rStyle w:val="Hyperlink"/>
          </w:rPr>
          <w:t>A Reading List</w:t>
        </w:r>
        <w:r w:rsidR="007E25BC" w:rsidRPr="006A1527">
          <w:rPr>
            <w:rStyle w:val="Hyperlink"/>
          </w:rPr>
          <w:t xml:space="preserve">. </w:t>
        </w:r>
        <w:r w:rsidR="002A63A4" w:rsidRPr="006A1527">
          <w:rPr>
            <w:rStyle w:val="Hyperlink"/>
          </w:rPr>
          <w:t>Developed by Karla J. Strand, DPhil, MLIS</w:t>
        </w:r>
        <w:r w:rsidR="006A1527" w:rsidRPr="006A1527">
          <w:rPr>
            <w:rStyle w:val="Hyperlink"/>
          </w:rPr>
          <w:t xml:space="preserve"> </w:t>
        </w:r>
        <w:r w:rsidR="002A63A4" w:rsidRPr="006A1527">
          <w:rPr>
            <w:rStyle w:val="Hyperlink"/>
          </w:rPr>
          <w:t>Gender and Women’s Studies Librarian</w:t>
        </w:r>
        <w:r w:rsidR="006A1527" w:rsidRPr="006A1527">
          <w:rPr>
            <w:rStyle w:val="Hyperlink"/>
          </w:rPr>
          <w:t xml:space="preserve"> </w:t>
        </w:r>
        <w:r w:rsidR="002A63A4" w:rsidRPr="006A1527">
          <w:rPr>
            <w:rStyle w:val="Hyperlink"/>
          </w:rPr>
          <w:t>University of Wisconsin System</w:t>
        </w:r>
        <w:r w:rsidR="006A1527" w:rsidRPr="006A1527">
          <w:rPr>
            <w:rStyle w:val="Hyperlink"/>
          </w:rPr>
          <w:t xml:space="preserve">. </w:t>
        </w:r>
        <w:r w:rsidR="002A63A4" w:rsidRPr="006A1527">
          <w:rPr>
            <w:rStyle w:val="Hyperlink"/>
          </w:rPr>
          <w:t>2019</w:t>
        </w:r>
        <w:r w:rsidR="007E25BC" w:rsidRPr="006A1527">
          <w:rPr>
            <w:rStyle w:val="Hyperlink"/>
          </w:rPr>
          <w:t>.</w:t>
        </w:r>
      </w:hyperlink>
    </w:p>
    <w:p w14:paraId="68233CA7" w14:textId="162A79BB" w:rsidR="00CF0BD4" w:rsidRPr="00810E3C" w:rsidRDefault="00CF0BD4" w:rsidP="006A1527">
      <w:pPr>
        <w:pStyle w:val="Heading2"/>
        <w:rPr>
          <w:rFonts w:asciiTheme="minorHAnsi" w:hAnsiTheme="minorHAnsi" w:cstheme="minorHAnsi"/>
          <w:b/>
          <w:bCs/>
          <w:sz w:val="28"/>
          <w:szCs w:val="28"/>
        </w:rPr>
      </w:pPr>
      <w:r w:rsidRPr="00810E3C">
        <w:rPr>
          <w:rFonts w:asciiTheme="minorHAnsi" w:hAnsiTheme="minorHAnsi" w:cstheme="minorHAnsi"/>
          <w:b/>
          <w:bCs/>
          <w:sz w:val="28"/>
          <w:szCs w:val="28"/>
        </w:rPr>
        <w:t xml:space="preserve">Essential </w:t>
      </w:r>
      <w:r w:rsidR="00D85728" w:rsidRPr="00810E3C">
        <w:rPr>
          <w:rFonts w:asciiTheme="minorHAnsi" w:hAnsiTheme="minorHAnsi" w:cstheme="minorHAnsi"/>
          <w:b/>
          <w:bCs/>
          <w:sz w:val="28"/>
          <w:szCs w:val="28"/>
        </w:rPr>
        <w:t>reading</w:t>
      </w:r>
      <w:r w:rsidRPr="00810E3C">
        <w:rPr>
          <w:rFonts w:asciiTheme="minorHAnsi" w:hAnsiTheme="minorHAnsi" w:cstheme="minorHAnsi"/>
          <w:b/>
          <w:bCs/>
          <w:sz w:val="28"/>
          <w:szCs w:val="28"/>
        </w:rPr>
        <w:t xml:space="preserve"> for oral health researchers</w:t>
      </w:r>
    </w:p>
    <w:p w14:paraId="2ADAB37A" w14:textId="0F874356" w:rsidR="00CF0BD4" w:rsidRPr="00CF0BD4" w:rsidRDefault="00CF0BD4" w:rsidP="00D85728">
      <w:r w:rsidRPr="00CF0BD4">
        <w:t>Williams DR, Lawrence J, Davis B. Racism and Health: Evidence and Needed Research. </w:t>
      </w:r>
      <w:proofErr w:type="spellStart"/>
      <w:r w:rsidRPr="00CF0BD4">
        <w:t>Annu</w:t>
      </w:r>
      <w:proofErr w:type="spellEnd"/>
      <w:r w:rsidRPr="00CF0BD4">
        <w:t> Rev Public Health 2019;</w:t>
      </w:r>
      <w:r w:rsidR="006A1527">
        <w:t xml:space="preserve"> </w:t>
      </w:r>
      <w:r w:rsidRPr="00CF0BD4">
        <w:t>40:105-125.</w:t>
      </w:r>
    </w:p>
    <w:p w14:paraId="23241CE0" w14:textId="532EEBFE" w:rsidR="00CF0BD4" w:rsidRPr="00CF0BD4" w:rsidRDefault="00CF0BD4" w:rsidP="00D85728">
      <w:r w:rsidRPr="00CF0BD4">
        <w:t xml:space="preserve">Bastos JL, et al. Advancing racial equity in oral health (research): more of the same is not enough. </w:t>
      </w:r>
      <w:proofErr w:type="spellStart"/>
      <w:r w:rsidRPr="00CF0BD4">
        <w:t>Eur</w:t>
      </w:r>
      <w:proofErr w:type="spellEnd"/>
      <w:r w:rsidRPr="00CF0BD4">
        <w:t xml:space="preserve"> J Oral Sci 2020;</w:t>
      </w:r>
      <w:r w:rsidR="006A1527">
        <w:t xml:space="preserve"> </w:t>
      </w:r>
      <w:r w:rsidRPr="00CF0BD4">
        <w:t>128:459-466.</w:t>
      </w:r>
    </w:p>
    <w:p w14:paraId="3B7470C7" w14:textId="77777777" w:rsidR="00CF0BD4" w:rsidRPr="00CF0BD4" w:rsidRDefault="00CF0BD4" w:rsidP="00D85728">
      <w:r w:rsidRPr="00CF0BD4">
        <w:t>Fleming EF, Raskin S, Brody E. From describing disparities to understanding why disparities exist: Anti-racist methods to support dental public health research. JPHD 2022 [accepted for publication].  </w:t>
      </w:r>
    </w:p>
    <w:p w14:paraId="7D174CFE" w14:textId="77777777" w:rsidR="00CF0BD4" w:rsidRPr="00CF0BD4" w:rsidRDefault="00CF0BD4" w:rsidP="00D85728">
      <w:r w:rsidRPr="00CF0BD4">
        <w:t>Raskin SE, Fleming E. Oral health equity must address oppression: on the BSSOH consensus statement. J Dent Res 2022.</w:t>
      </w:r>
    </w:p>
    <w:p w14:paraId="01F1B027" w14:textId="77777777" w:rsidR="00CF0BD4" w:rsidRPr="00CF0BD4" w:rsidRDefault="00CF0BD4" w:rsidP="00D85728">
      <w:r w:rsidRPr="00CF0BD4">
        <w:t>American Association of Public Health Dentistry (2021). Anti-Racism in Dental Public Health: A Call to Action [White Paper]. Springfield, IL.</w:t>
      </w:r>
    </w:p>
    <w:p w14:paraId="43BC0527" w14:textId="7AE8AA0A" w:rsidR="00CF0BD4" w:rsidRPr="00810E3C" w:rsidRDefault="00CF0BD4" w:rsidP="006A1527">
      <w:pPr>
        <w:pStyle w:val="Heading2"/>
        <w:rPr>
          <w:rFonts w:asciiTheme="minorHAnsi" w:hAnsiTheme="minorHAnsi" w:cstheme="minorHAnsi"/>
          <w:b/>
          <w:bCs/>
          <w:sz w:val="28"/>
          <w:szCs w:val="28"/>
        </w:rPr>
      </w:pPr>
      <w:r w:rsidRPr="00810E3C">
        <w:rPr>
          <w:rFonts w:asciiTheme="minorHAnsi" w:hAnsiTheme="minorHAnsi" w:cstheme="minorHAnsi"/>
          <w:b/>
          <w:bCs/>
          <w:sz w:val="28"/>
          <w:szCs w:val="28"/>
        </w:rPr>
        <w:t>Essential reading for thinking about workforce</w:t>
      </w:r>
    </w:p>
    <w:p w14:paraId="1F1E8A21" w14:textId="77777777" w:rsidR="00CF0BD4" w:rsidRPr="00CF0BD4" w:rsidRDefault="00CF0BD4" w:rsidP="0094716B">
      <w:r w:rsidRPr="00CF0BD4">
        <w:t>Alston P, Chaviano-Moran R. Stronger Together. Diverse Dentists Weigh in on Racism and its Impact on Oral Health in our Communities. JPHD 2022 [accepted for publication]. </w:t>
      </w:r>
    </w:p>
    <w:p w14:paraId="71A5C91C" w14:textId="77777777" w:rsidR="00CF0BD4" w:rsidRPr="00CF0BD4" w:rsidRDefault="00CF0BD4" w:rsidP="0094716B">
      <w:r w:rsidRPr="00CF0BD4">
        <w:t>Fleming E, Mertz E. Understanding discrimination experiences of minority students in dental education. JPHD 2022 [accepted for publication].  </w:t>
      </w:r>
    </w:p>
    <w:p w14:paraId="00212F10" w14:textId="77777777" w:rsidR="00CF0BD4" w:rsidRPr="00CF0BD4" w:rsidRDefault="00CF0BD4" w:rsidP="0094716B">
      <w:proofErr w:type="spellStart"/>
      <w:r w:rsidRPr="00CF0BD4">
        <w:lastRenderedPageBreak/>
        <w:t>Kinsler</w:t>
      </w:r>
      <w:proofErr w:type="spellEnd"/>
      <w:r w:rsidRPr="00CF0BD4">
        <w:t xml:space="preserve"> J, Ramos-Gomez F. Addressing social determinants of oral health, structural racism and discrimination and intersectionality among immigrant and non-English speaking Hispanics in the United States. JPHD 2022 [accepted for publication].  </w:t>
      </w:r>
    </w:p>
    <w:p w14:paraId="7031F54B" w14:textId="59828607" w:rsidR="00DE299E" w:rsidRPr="00810E3C" w:rsidRDefault="00DE299E" w:rsidP="006A1527">
      <w:pPr>
        <w:pStyle w:val="Heading2"/>
        <w:rPr>
          <w:rFonts w:asciiTheme="minorHAnsi" w:hAnsiTheme="minorHAnsi" w:cstheme="minorHAnsi"/>
          <w:b/>
          <w:bCs/>
          <w:sz w:val="28"/>
          <w:szCs w:val="28"/>
        </w:rPr>
      </w:pPr>
      <w:r w:rsidRPr="00810E3C">
        <w:rPr>
          <w:rFonts w:asciiTheme="minorHAnsi" w:hAnsiTheme="minorHAnsi" w:cstheme="minorHAnsi"/>
          <w:b/>
          <w:bCs/>
          <w:sz w:val="28"/>
          <w:szCs w:val="28"/>
        </w:rPr>
        <w:t>Essential reading for thinking about dental education</w:t>
      </w:r>
    </w:p>
    <w:p w14:paraId="479C2A11" w14:textId="77777777" w:rsidR="00DE299E" w:rsidRPr="00DE299E" w:rsidRDefault="00DE299E" w:rsidP="00E13E8A">
      <w:proofErr w:type="spellStart"/>
      <w:r w:rsidRPr="00DE299E">
        <w:t>Demopoulus</w:t>
      </w:r>
      <w:proofErr w:type="spellEnd"/>
      <w:r w:rsidRPr="00DE299E">
        <w:t xml:space="preserve"> C, et al. Racial and Oral Health Equity in Dental School Curricula. JPHD 2022 [accepted for publication]. </w:t>
      </w:r>
    </w:p>
    <w:p w14:paraId="4D06B6B3" w14:textId="77777777" w:rsidR="00DE299E" w:rsidRPr="00DE299E" w:rsidRDefault="00DE299E" w:rsidP="00E13E8A">
      <w:r w:rsidRPr="00DE299E">
        <w:t>Poole T, Mertz E. Slipping through the Cracks: Just How Underrepresented are Minorities within the Dental Specialties? JPHD 2022 [accepted for publication].  </w:t>
      </w:r>
    </w:p>
    <w:p w14:paraId="159BD9C8" w14:textId="77777777" w:rsidR="00DE299E" w:rsidRPr="00DE299E" w:rsidRDefault="00DE299E" w:rsidP="00E13E8A">
      <w:proofErr w:type="spellStart"/>
      <w:r w:rsidRPr="00DE299E">
        <w:t>Forouhi</w:t>
      </w:r>
      <w:proofErr w:type="spellEnd"/>
      <w:r w:rsidRPr="00DE299E">
        <w:t xml:space="preserve"> S, </w:t>
      </w:r>
      <w:proofErr w:type="spellStart"/>
      <w:r w:rsidRPr="00DE299E">
        <w:t>Muirhead</w:t>
      </w:r>
      <w:proofErr w:type="spellEnd"/>
      <w:r w:rsidRPr="00DE299E">
        <w:t xml:space="preserve"> V. A Student-Led Qualitative Study to Explore Dental Undergraduates’ Understanding, Experiences, and Responses to Racism in a Dental School. JPHD 2022 [accepted for publication].  </w:t>
      </w:r>
    </w:p>
    <w:p w14:paraId="16FE7E96" w14:textId="77777777" w:rsidR="00DE299E" w:rsidRPr="00DE299E" w:rsidRDefault="00DE299E" w:rsidP="00E13E8A">
      <w:r w:rsidRPr="00DE299E">
        <w:t>Smith S, et al. Anti-racism Structures in Academic Dentistry: Supporting Underrepresented Racially/Ethnically Diverse Faculty. JPHD 2022 [accepted for publication].</w:t>
      </w:r>
    </w:p>
    <w:p w14:paraId="16481EFF" w14:textId="77777777" w:rsidR="006379AF" w:rsidRPr="00810E3C" w:rsidRDefault="006379AF" w:rsidP="003B4C15">
      <w:pPr>
        <w:pStyle w:val="Heading2"/>
        <w:rPr>
          <w:rFonts w:asciiTheme="minorHAnsi" w:hAnsiTheme="minorHAnsi" w:cstheme="minorHAnsi"/>
          <w:b/>
          <w:bCs/>
          <w:sz w:val="28"/>
          <w:szCs w:val="28"/>
        </w:rPr>
      </w:pPr>
      <w:r w:rsidRPr="00810E3C">
        <w:rPr>
          <w:rFonts w:asciiTheme="minorHAnsi" w:hAnsiTheme="minorHAnsi" w:cstheme="minorHAnsi"/>
          <w:b/>
          <w:bCs/>
          <w:sz w:val="28"/>
          <w:szCs w:val="28"/>
        </w:rPr>
        <w:t>Print Resources</w:t>
      </w:r>
    </w:p>
    <w:p w14:paraId="67D9CC70" w14:textId="77777777" w:rsidR="006379AF" w:rsidRDefault="006379AF" w:rsidP="006379AF">
      <w:r w:rsidRPr="005B2584">
        <w:t>How to Be an Antiracist</w:t>
      </w:r>
      <w:r w:rsidRPr="006379AF">
        <w:t xml:space="preserve"> by </w:t>
      </w:r>
      <w:proofErr w:type="spellStart"/>
      <w:r w:rsidRPr="006379AF">
        <w:t>Ibram</w:t>
      </w:r>
      <w:proofErr w:type="spellEnd"/>
      <w:r w:rsidRPr="006379AF">
        <w:t xml:space="preserve"> X. </w:t>
      </w:r>
      <w:proofErr w:type="spellStart"/>
      <w:r w:rsidRPr="006379AF">
        <w:t>Kendi</w:t>
      </w:r>
      <w:proofErr w:type="spellEnd"/>
      <w:r w:rsidRPr="006379AF">
        <w:t>.</w:t>
      </w:r>
      <w:r w:rsidRPr="005B2584">
        <w:t xml:space="preserve"> New York: One World, 2019. </w:t>
      </w:r>
    </w:p>
    <w:p w14:paraId="21A23DA2" w14:textId="32110FB2" w:rsidR="00D85728" w:rsidRDefault="006379AF">
      <w:r w:rsidRPr="005B2584">
        <w:t>Justice and the Politics of Difference</w:t>
      </w:r>
      <w:r>
        <w:t xml:space="preserve"> by Iris M Young. </w:t>
      </w:r>
      <w:r w:rsidRPr="005B2584">
        <w:t>Princeton, N.J: Princeton University Press, 1990.</w:t>
      </w:r>
    </w:p>
    <w:sectPr w:rsidR="00D8572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9CD4" w14:textId="77777777" w:rsidR="00943726" w:rsidRDefault="00943726" w:rsidP="00291D15">
      <w:pPr>
        <w:spacing w:after="0" w:line="240" w:lineRule="auto"/>
      </w:pPr>
      <w:r>
        <w:separator/>
      </w:r>
    </w:p>
  </w:endnote>
  <w:endnote w:type="continuationSeparator" w:id="0">
    <w:p w14:paraId="0CA0027A" w14:textId="77777777" w:rsidR="00943726" w:rsidRDefault="00943726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1F3F" w14:textId="70E5203C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F80E9B">
      <w:rPr>
        <w:sz w:val="16"/>
        <w:szCs w:val="16"/>
      </w:rPr>
      <w:t xml:space="preserve"> Updated June 2022.</w:t>
    </w:r>
  </w:p>
  <w:p w14:paraId="7C3873B0" w14:textId="762C8E89" w:rsidR="00485108" w:rsidRDefault="00943726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FB62" w14:textId="77777777" w:rsidR="00943726" w:rsidRDefault="00943726" w:rsidP="00291D15">
      <w:pPr>
        <w:spacing w:after="0" w:line="240" w:lineRule="auto"/>
      </w:pPr>
      <w:r>
        <w:separator/>
      </w:r>
    </w:p>
  </w:footnote>
  <w:footnote w:type="continuationSeparator" w:id="0">
    <w:p w14:paraId="5580B6EA" w14:textId="77777777" w:rsidR="00943726" w:rsidRDefault="00943726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5F29"/>
    <w:multiLevelType w:val="hybridMultilevel"/>
    <w:tmpl w:val="03F677D2"/>
    <w:lvl w:ilvl="0" w:tplc="483C9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CA0F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4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03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CC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AA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84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4A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E2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3E5B45"/>
    <w:multiLevelType w:val="hybridMultilevel"/>
    <w:tmpl w:val="6004DC5A"/>
    <w:lvl w:ilvl="0" w:tplc="E27A0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2E34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E2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680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2A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685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86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EF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22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B246C0"/>
    <w:multiLevelType w:val="hybridMultilevel"/>
    <w:tmpl w:val="EABA7F88"/>
    <w:lvl w:ilvl="0" w:tplc="EA80E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0159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4C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263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E8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64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02F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27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87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9352092">
    <w:abstractNumId w:val="0"/>
  </w:num>
  <w:num w:numId="2" w16cid:durableId="402993970">
    <w:abstractNumId w:val="1"/>
  </w:num>
  <w:num w:numId="3" w16cid:durableId="1612978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1336E5"/>
    <w:rsid w:val="00171FA7"/>
    <w:rsid w:val="00221AD4"/>
    <w:rsid w:val="00291D15"/>
    <w:rsid w:val="002A63A4"/>
    <w:rsid w:val="003B4C15"/>
    <w:rsid w:val="0040308E"/>
    <w:rsid w:val="00407EF9"/>
    <w:rsid w:val="00485108"/>
    <w:rsid w:val="004D4561"/>
    <w:rsid w:val="00546D4E"/>
    <w:rsid w:val="005B2584"/>
    <w:rsid w:val="00625C5A"/>
    <w:rsid w:val="006379AF"/>
    <w:rsid w:val="006A1527"/>
    <w:rsid w:val="00753D74"/>
    <w:rsid w:val="007737EC"/>
    <w:rsid w:val="007E25BC"/>
    <w:rsid w:val="007F66FE"/>
    <w:rsid w:val="00810E3C"/>
    <w:rsid w:val="008C2BB9"/>
    <w:rsid w:val="00941C69"/>
    <w:rsid w:val="00943726"/>
    <w:rsid w:val="0094716B"/>
    <w:rsid w:val="00AD5D88"/>
    <w:rsid w:val="00B027E0"/>
    <w:rsid w:val="00CF0BD4"/>
    <w:rsid w:val="00D504DA"/>
    <w:rsid w:val="00D63AAC"/>
    <w:rsid w:val="00D85728"/>
    <w:rsid w:val="00DE299E"/>
    <w:rsid w:val="00E13E8A"/>
    <w:rsid w:val="00F2701B"/>
    <w:rsid w:val="00F675BF"/>
    <w:rsid w:val="00F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0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styleId="Hyperlink">
    <w:name w:val="Hyperlink"/>
    <w:basedOn w:val="DefaultParagraphFont"/>
    <w:uiPriority w:val="99"/>
    <w:unhideWhenUsed/>
    <w:rsid w:val="00941C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C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63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2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D5D8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30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57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1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3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81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59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88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28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1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2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3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7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ersity.social/inclusivity/" TargetMode="External"/><Relationship Id="rId13" Type="http://schemas.openxmlformats.org/officeDocument/2006/relationships/hyperlink" Target="https://www.library.wisc.edu/gwslibrarian/bibliographies/disrupting-whiteness-in-librar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ea.org/data/Faculty/2018-2019-Survey/" TargetMode="External"/><Relationship Id="rId12" Type="http://schemas.openxmlformats.org/officeDocument/2006/relationships/hyperlink" Target="https://www.ada.org/-/media/project/ada-organization/ada/ada-org/files/resources/research/hpi/hpigraphic_0421_1.pdf?rev=aa1f41177af94613a74a307adc11f2f0&amp;hash=8F66BABF02828DB2E9A6D5D53908F2D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aphd.memberclicks.net/assets/Webinars/White%20paper%20FINAL%20July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aintedbrain.org/news/the-benefits-of-anti-oppressive-practice-in-mental-health-c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sp.org/wp-content/uploads/2019/09/Antiracist-Frame-12.10.19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536</Words>
  <Characters>3195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Tackling Inclusivity and the Future of Oral Health</dc:title>
  <dc:subject/>
  <dc:creator>Eleanor Fleming</dc:creator>
  <cp:keywords/>
  <dc:description/>
  <cp:lastModifiedBy>Rebecca Brown</cp:lastModifiedBy>
  <cp:revision>21</cp:revision>
  <dcterms:created xsi:type="dcterms:W3CDTF">2022-06-09T14:11:00Z</dcterms:created>
  <dcterms:modified xsi:type="dcterms:W3CDTF">2022-06-09T15:41:00Z</dcterms:modified>
</cp:coreProperties>
</file>