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020" w:rsidRDefault="00036020"/>
    <w:p w:rsidR="007C28C9" w:rsidRDefault="00BF4CEC">
      <w:r>
        <w:t xml:space="preserve">Hi everyone, </w:t>
      </w:r>
    </w:p>
    <w:p w:rsidR="00036020" w:rsidRDefault="00036020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657225</wp:posOffset>
            </wp:positionH>
            <wp:positionV relativeFrom="paragraph">
              <wp:posOffset>832485</wp:posOffset>
            </wp:positionV>
            <wp:extent cx="5524500" cy="3095625"/>
            <wp:effectExtent l="19050" t="19050" r="19050" b="28575"/>
            <wp:wrapTopAndBottom/>
            <wp:docPr id="1" name="Picture 1" descr="picture of a ruler from 0-10. a provider can ask someone why they say they are ar a 5 and not a two and then what it could take to get them from a 5 to a 7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4" t="2884" r="4167" b="3384"/>
                    <a:stretch/>
                  </pic:blipFill>
                  <pic:spPr bwMode="auto">
                    <a:xfrm>
                      <a:off x="0" y="0"/>
                      <a:ext cx="5524500" cy="30956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F4CEC">
        <w:t>Tha</w:t>
      </w:r>
      <w:r w:rsidR="00FF0A5B">
        <w:t>nk you for attending our fifth Clinical C</w:t>
      </w:r>
      <w:r w:rsidR="00BF4CEC">
        <w:t xml:space="preserve">onversation about MI and the contemplation stage. One thing we discussed was </w:t>
      </w:r>
      <w:r w:rsidR="006B5BFD">
        <w:t>the use of importance and confidence rulers. These can increase someone’s confidence and motivation to change</w:t>
      </w:r>
      <w:r w:rsidR="006B5BFD" w:rsidRPr="00127613">
        <w:rPr>
          <w:vertAlign w:val="superscript"/>
        </w:rPr>
        <w:t>1</w:t>
      </w:r>
      <w:proofErr w:type="gramStart"/>
      <w:r w:rsidR="00127613">
        <w:rPr>
          <w:vertAlign w:val="superscript"/>
        </w:rPr>
        <w:t>,</w:t>
      </w:r>
      <w:r w:rsidR="006B5BFD" w:rsidRPr="00127613">
        <w:rPr>
          <w:vertAlign w:val="superscript"/>
        </w:rPr>
        <w:t>2</w:t>
      </w:r>
      <w:r w:rsidR="00127613">
        <w:rPr>
          <w:vertAlign w:val="superscript"/>
        </w:rPr>
        <w:t>,</w:t>
      </w:r>
      <w:r w:rsidR="006B5BFD" w:rsidRPr="00127613">
        <w:rPr>
          <w:vertAlign w:val="superscript"/>
        </w:rPr>
        <w:t>3</w:t>
      </w:r>
      <w:proofErr w:type="gramEnd"/>
      <w:r w:rsidR="006B5BFD">
        <w:t>, which is important when someone is in contemplation</w:t>
      </w:r>
      <w:r w:rsidR="006B5BFD" w:rsidRPr="00127613">
        <w:rPr>
          <w:vertAlign w:val="superscript"/>
        </w:rPr>
        <w:t>4</w:t>
      </w:r>
      <w:r w:rsidR="00127613">
        <w:t>.</w:t>
      </w:r>
    </w:p>
    <w:p w:rsidR="00036020" w:rsidRDefault="00036020"/>
    <w:p w:rsidR="00C822A0" w:rsidRDefault="006B5BFD" w:rsidP="00036020">
      <w:pPr>
        <w:contextualSpacing/>
      </w:pPr>
      <w:r>
        <w:t xml:space="preserve">References: </w:t>
      </w:r>
    </w:p>
    <w:p w:rsidR="00E318B3" w:rsidRPr="00036020" w:rsidRDefault="00FB61BF" w:rsidP="00036020">
      <w:pPr>
        <w:numPr>
          <w:ilvl w:val="0"/>
          <w:numId w:val="5"/>
        </w:numPr>
        <w:contextualSpacing/>
      </w:pPr>
      <w:r w:rsidRPr="00036020">
        <w:t xml:space="preserve">Gold, M., Kelly, T. &amp; </w:t>
      </w:r>
      <w:proofErr w:type="spellStart"/>
      <w:r w:rsidRPr="00036020">
        <w:t>Douihy</w:t>
      </w:r>
      <w:proofErr w:type="spellEnd"/>
      <w:r w:rsidRPr="00036020">
        <w:t xml:space="preserve">, A. (2015). </w:t>
      </w:r>
      <w:r w:rsidR="00036020">
        <w:rPr>
          <w:i/>
          <w:iCs/>
        </w:rPr>
        <w:t>Motivational Interviewing</w:t>
      </w:r>
      <w:r w:rsidRPr="00036020">
        <w:rPr>
          <w:i/>
          <w:iCs/>
        </w:rPr>
        <w:t xml:space="preserve">: A Guide for Medical Trainees. </w:t>
      </w:r>
      <w:r w:rsidRPr="00036020">
        <w:t>New York: Oxford University Press.</w:t>
      </w:r>
    </w:p>
    <w:p w:rsidR="00E318B3" w:rsidRPr="00036020" w:rsidRDefault="00FB61BF" w:rsidP="00036020">
      <w:pPr>
        <w:numPr>
          <w:ilvl w:val="0"/>
          <w:numId w:val="5"/>
        </w:numPr>
        <w:contextualSpacing/>
      </w:pPr>
      <w:r w:rsidRPr="00036020">
        <w:t xml:space="preserve">Stewart, E., Taylor-Post, N., Nichols L., </w:t>
      </w:r>
      <w:proofErr w:type="spellStart"/>
      <w:r w:rsidRPr="00036020">
        <w:t>Staton</w:t>
      </w:r>
      <w:proofErr w:type="spellEnd"/>
      <w:r w:rsidRPr="00036020">
        <w:t xml:space="preserve"> E., &amp; </w:t>
      </w:r>
      <w:proofErr w:type="spellStart"/>
      <w:r w:rsidRPr="00036020">
        <w:t>Schleuning</w:t>
      </w:r>
      <w:proofErr w:type="spellEnd"/>
      <w:r w:rsidRPr="00036020">
        <w:t xml:space="preserve"> A. (2014). Community Connections: Linking Primary Care Patients to Local Resources for Better Management of Obesity. Rockville, MD: Agency for Healthcare Research and Quality; AHRQ Publication No. 14-0030-EF. Retrieved from </w:t>
      </w:r>
      <w:hyperlink r:id="rId8" w:history="1">
        <w:r w:rsidRPr="00036020">
          <w:rPr>
            <w:rStyle w:val="Hyperlink"/>
          </w:rPr>
          <w:t>URL to Source</w:t>
        </w:r>
      </w:hyperlink>
    </w:p>
    <w:p w:rsidR="00E318B3" w:rsidRDefault="00FB61BF" w:rsidP="00036020">
      <w:pPr>
        <w:numPr>
          <w:ilvl w:val="0"/>
          <w:numId w:val="5"/>
        </w:numPr>
        <w:contextualSpacing/>
      </w:pPr>
      <w:r w:rsidRPr="00036020">
        <w:t>Center for Substance Abuse Treatment (1999). Enhancing Motivation for Change in Substance Abuse Treatment. Treatment Improvement Protocol (TIP) Series, No. 35. HHS Publication No. (SMA) 12-4212. Rockville, MD: Substance Abuse and Mental Health Services Administration. Retrieved from URL to Source</w:t>
      </w:r>
    </w:p>
    <w:p w:rsidR="00A55D65" w:rsidRPr="00036020" w:rsidRDefault="00A55D65" w:rsidP="00A55D65">
      <w:pPr>
        <w:numPr>
          <w:ilvl w:val="0"/>
          <w:numId w:val="5"/>
        </w:numPr>
        <w:contextualSpacing/>
      </w:pPr>
      <w:proofErr w:type="spellStart"/>
      <w:r w:rsidRPr="00036020">
        <w:t>Tuccero</w:t>
      </w:r>
      <w:proofErr w:type="spellEnd"/>
      <w:r w:rsidRPr="00036020">
        <w:t xml:space="preserve">, </w:t>
      </w:r>
      <w:proofErr w:type="spellStart"/>
      <w:r w:rsidRPr="00036020">
        <w:t>Railey</w:t>
      </w:r>
      <w:proofErr w:type="spellEnd"/>
      <w:r w:rsidRPr="00036020">
        <w:t xml:space="preserve">, Briggs &amp; Hull (2016). Behavioral Health in Prevention and Chronic Illness Management, Primary Care: Clinics in Office Practice, 43, 191-102. </w:t>
      </w:r>
      <w:proofErr w:type="spellStart"/>
      <w:r w:rsidRPr="00036020">
        <w:t>doi</w:t>
      </w:r>
      <w:proofErr w:type="spellEnd"/>
      <w:r w:rsidRPr="00036020">
        <w:t>: 10.1016/j.pop.2016.01.006</w:t>
      </w:r>
    </w:p>
    <w:p w:rsidR="00A55D65" w:rsidRPr="00036020" w:rsidRDefault="00A55D65" w:rsidP="00A55D65">
      <w:pPr>
        <w:ind w:left="720"/>
        <w:contextualSpacing/>
      </w:pPr>
    </w:p>
    <w:p w:rsidR="00C822A0" w:rsidRDefault="00C822A0" w:rsidP="00036020"/>
    <w:sectPr w:rsidR="00C822A0" w:rsidSect="000360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60A" w:rsidRDefault="000D460A" w:rsidP="00036020">
      <w:pPr>
        <w:spacing w:after="0" w:line="240" w:lineRule="auto"/>
      </w:pPr>
      <w:r>
        <w:separator/>
      </w:r>
    </w:p>
  </w:endnote>
  <w:endnote w:type="continuationSeparator" w:id="0">
    <w:p w:rsidR="000D460A" w:rsidRDefault="000D460A" w:rsidP="00036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594" w:rsidRDefault="004235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594" w:rsidRDefault="004235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594" w:rsidRDefault="004235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60A" w:rsidRDefault="000D460A" w:rsidP="00036020">
      <w:pPr>
        <w:spacing w:after="0" w:line="240" w:lineRule="auto"/>
      </w:pPr>
      <w:r>
        <w:separator/>
      </w:r>
    </w:p>
  </w:footnote>
  <w:footnote w:type="continuationSeparator" w:id="0">
    <w:p w:rsidR="000D460A" w:rsidRDefault="000D460A" w:rsidP="00036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594" w:rsidRDefault="004235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594" w:rsidRPr="00423594" w:rsidRDefault="00423594" w:rsidP="00423594">
    <w:pPr>
      <w:pStyle w:val="Header"/>
      <w:jc w:val="center"/>
      <w:rPr>
        <w:i/>
      </w:rPr>
    </w:pPr>
    <w:r w:rsidRPr="00423594">
      <w:rPr>
        <w:rStyle w:val="SubtleEmphasis"/>
        <w:b/>
        <w:i w:val="0"/>
        <w:color w:val="2F5496" w:themeColor="accent5" w:themeShade="BF"/>
        <w:sz w:val="60"/>
        <w:szCs w:val="60"/>
      </w:rPr>
      <w:t>E-mail Follow</w:t>
    </w:r>
    <w:r>
      <w:rPr>
        <w:rStyle w:val="SubtleEmphasis"/>
        <w:b/>
        <w:i w:val="0"/>
        <w:color w:val="2F5496" w:themeColor="accent5" w:themeShade="BF"/>
        <w:sz w:val="60"/>
        <w:szCs w:val="60"/>
      </w:rPr>
      <w:t xml:space="preserve"> up Option </w:t>
    </w:r>
    <w:r>
      <w:rPr>
        <w:rStyle w:val="SubtleEmphasis"/>
        <w:b/>
        <w:i w:val="0"/>
        <w:color w:val="2F5496" w:themeColor="accent5" w:themeShade="BF"/>
        <w:sz w:val="60"/>
        <w:szCs w:val="60"/>
      </w:rPr>
      <w:t>#2</w:t>
    </w:r>
    <w:bookmarkStart w:id="0" w:name="_GoBack"/>
    <w:bookmarkEnd w:id="0"/>
  </w:p>
  <w:p w:rsidR="00423594" w:rsidRDefault="00423594">
    <w:pPr>
      <w:pStyle w:val="Header"/>
    </w:pPr>
  </w:p>
  <w:p w:rsidR="00036020" w:rsidRPr="00036020" w:rsidRDefault="00036020" w:rsidP="00036020">
    <w:pPr>
      <w:pStyle w:val="Header"/>
      <w:jc w:val="center"/>
      <w:rPr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594" w:rsidRDefault="004235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34425"/>
    <w:multiLevelType w:val="hybridMultilevel"/>
    <w:tmpl w:val="29760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D2DB1"/>
    <w:multiLevelType w:val="hybridMultilevel"/>
    <w:tmpl w:val="1AC8EFB2"/>
    <w:lvl w:ilvl="0" w:tplc="25D6FC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E6AD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9E40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149C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F2CF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6A85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C090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322D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BA62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D77640"/>
    <w:multiLevelType w:val="hybridMultilevel"/>
    <w:tmpl w:val="8AC04D28"/>
    <w:lvl w:ilvl="0" w:tplc="6CF2F2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CEDD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D0B2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1C9A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1C02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C69E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E02E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18E9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D4D5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E42DDD"/>
    <w:multiLevelType w:val="hybridMultilevel"/>
    <w:tmpl w:val="D5DE2C04"/>
    <w:lvl w:ilvl="0" w:tplc="1E0E5A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1239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248F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3CA7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E40D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6E77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F8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0234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720E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5277EE"/>
    <w:multiLevelType w:val="hybridMultilevel"/>
    <w:tmpl w:val="4C24866E"/>
    <w:lvl w:ilvl="0" w:tplc="AD981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CE3B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FC2D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EA71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F812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C44B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E8F1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A246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7A7B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F64"/>
    <w:rsid w:val="00036020"/>
    <w:rsid w:val="00072F33"/>
    <w:rsid w:val="000D460A"/>
    <w:rsid w:val="00127613"/>
    <w:rsid w:val="002432BE"/>
    <w:rsid w:val="0026010E"/>
    <w:rsid w:val="002D5313"/>
    <w:rsid w:val="00306B2C"/>
    <w:rsid w:val="00312A0C"/>
    <w:rsid w:val="00423594"/>
    <w:rsid w:val="006B5BFD"/>
    <w:rsid w:val="007825DE"/>
    <w:rsid w:val="00894C69"/>
    <w:rsid w:val="008D6661"/>
    <w:rsid w:val="009474F8"/>
    <w:rsid w:val="00996E52"/>
    <w:rsid w:val="00A55D65"/>
    <w:rsid w:val="00BF4CEC"/>
    <w:rsid w:val="00C822A0"/>
    <w:rsid w:val="00D9325B"/>
    <w:rsid w:val="00E1614A"/>
    <w:rsid w:val="00E318B3"/>
    <w:rsid w:val="00F013E9"/>
    <w:rsid w:val="00F11BEB"/>
    <w:rsid w:val="00F23A10"/>
    <w:rsid w:val="00FA0F64"/>
    <w:rsid w:val="00FB61BF"/>
    <w:rsid w:val="00FF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9A6BB"/>
  <w15:chartTrackingRefBased/>
  <w15:docId w15:val="{BEBDE1AA-84E9-4EC7-8540-F6EA0129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B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2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22A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06B2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360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020"/>
  </w:style>
  <w:style w:type="paragraph" w:styleId="Footer">
    <w:name w:val="footer"/>
    <w:basedOn w:val="Normal"/>
    <w:link w:val="FooterChar"/>
    <w:uiPriority w:val="99"/>
    <w:unhideWhenUsed/>
    <w:rsid w:val="000360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020"/>
  </w:style>
  <w:style w:type="character" w:styleId="SubtleEmphasis">
    <w:name w:val="Subtle Emphasis"/>
    <w:basedOn w:val="DefaultParagraphFont"/>
    <w:uiPriority w:val="19"/>
    <w:qFormat/>
    <w:rsid w:val="0003602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4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7614">
          <w:marLeft w:val="806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363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13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357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3853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95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54061">
          <w:marLeft w:val="806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42095">
          <w:marLeft w:val="806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5329">
          <w:marLeft w:val="806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239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173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256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339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4952">
          <w:marLeft w:val="806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1999">
          <w:marLeft w:val="806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2204">
          <w:marLeft w:val="806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9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2101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165">
          <w:marLeft w:val="806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7397">
          <w:marLeft w:val="806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2105">
          <w:marLeft w:val="806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hrq.gov/sites/default/files/publications/files/obesity-toolkit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Seger, Erin</dc:creator>
  <cp:keywords/>
  <dc:description/>
  <cp:lastModifiedBy>Windows User</cp:lastModifiedBy>
  <cp:revision>6</cp:revision>
  <cp:lastPrinted>2019-09-18T18:31:00Z</cp:lastPrinted>
  <dcterms:created xsi:type="dcterms:W3CDTF">2019-09-12T15:40:00Z</dcterms:created>
  <dcterms:modified xsi:type="dcterms:W3CDTF">2020-05-22T16:53:00Z</dcterms:modified>
</cp:coreProperties>
</file>