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CFFD" w14:textId="2691125E" w:rsidR="00343B50" w:rsidRPr="00CA0506" w:rsidRDefault="00343B50" w:rsidP="00A23490">
      <w:pPr>
        <w:ind w:left="720" w:hanging="360"/>
        <w:rPr>
          <w:vertAlign w:val="superscript"/>
        </w:rPr>
      </w:pPr>
    </w:p>
    <w:p w14:paraId="4A859373" w14:textId="05CEF759" w:rsidR="00395469" w:rsidRPr="00395469" w:rsidRDefault="00395469" w:rsidP="00073112">
      <w:pPr>
        <w:spacing w:line="360" w:lineRule="auto"/>
        <w:rPr>
          <w:b/>
          <w:bCs/>
          <w:sz w:val="28"/>
          <w:szCs w:val="28"/>
        </w:rPr>
      </w:pPr>
      <w:bookmarkStart w:id="0" w:name="_Hlk16864647"/>
      <w:r w:rsidRPr="00395469">
        <w:rPr>
          <w:b/>
          <w:bCs/>
          <w:sz w:val="28"/>
          <w:szCs w:val="28"/>
        </w:rPr>
        <w:t>TTM-Cyclical process</w:t>
      </w:r>
    </w:p>
    <w:p w14:paraId="6A6973A0" w14:textId="32B931A6" w:rsidR="00B13651" w:rsidRPr="00DE5091" w:rsidRDefault="00073112" w:rsidP="00073112">
      <w:pPr>
        <w:spacing w:line="360" w:lineRule="auto"/>
        <w:rPr>
          <w:sz w:val="28"/>
          <w:szCs w:val="28"/>
          <w:vertAlign w:val="superscript"/>
        </w:rPr>
      </w:pPr>
      <w:r w:rsidRPr="00073112">
        <w:rPr>
          <w:sz w:val="28"/>
          <w:szCs w:val="28"/>
        </w:rPr>
        <w:t>Theory that assumes change progresses over time, with someone going through six stages of change, with different needs based on where they are in the change process</w:t>
      </w:r>
      <w:r w:rsidRPr="00073112">
        <w:rPr>
          <w:sz w:val="28"/>
          <w:szCs w:val="28"/>
          <w:vertAlign w:val="superscript"/>
        </w:rPr>
        <w:t>2,5</w:t>
      </w:r>
      <w:r w:rsidR="00DE5091">
        <w:rPr>
          <w:sz w:val="28"/>
          <w:szCs w:val="28"/>
        </w:rPr>
        <w:t>.</w:t>
      </w:r>
    </w:p>
    <w:p w14:paraId="4B60355E" w14:textId="05B26A73" w:rsidR="00395469" w:rsidRDefault="00395469" w:rsidP="004F09B4">
      <w:pPr>
        <w:spacing w:line="360" w:lineRule="auto"/>
        <w:rPr>
          <w:b/>
          <w:bCs/>
          <w:sz w:val="28"/>
          <w:szCs w:val="28"/>
        </w:rPr>
      </w:pPr>
      <w:r w:rsidRPr="00E40A99">
        <w:rPr>
          <w:noProof/>
          <w:sz w:val="28"/>
          <w:szCs w:val="28"/>
        </w:rPr>
        <w:drawing>
          <wp:inline distT="0" distB="0" distL="0" distR="0" wp14:anchorId="46DCB30E" wp14:editId="1BCDEBD7">
            <wp:extent cx="7138670" cy="3317875"/>
            <wp:effectExtent l="0" t="0" r="5080" b="0"/>
            <wp:docPr id="1" name="Picture 1" descr="Photo of T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198" t="20531" r="1639"/>
                    <a:stretch/>
                  </pic:blipFill>
                  <pic:spPr bwMode="auto">
                    <a:xfrm>
                      <a:off x="0" y="0"/>
                      <a:ext cx="7138670" cy="3317875"/>
                    </a:xfrm>
                    <a:prstGeom prst="rect">
                      <a:avLst/>
                    </a:prstGeom>
                    <a:ln>
                      <a:noFill/>
                    </a:ln>
                    <a:extLst>
                      <a:ext uri="{53640926-AAD7-44D8-BBD7-CCE9431645EC}">
                        <a14:shadowObscured xmlns:a14="http://schemas.microsoft.com/office/drawing/2010/main"/>
                      </a:ext>
                    </a:extLst>
                  </pic:spPr>
                </pic:pic>
              </a:graphicData>
            </a:graphic>
          </wp:inline>
        </w:drawing>
      </w:r>
    </w:p>
    <w:p w14:paraId="57458927" w14:textId="77777777" w:rsidR="00395469" w:rsidRDefault="00395469" w:rsidP="00073112">
      <w:pPr>
        <w:spacing w:line="360" w:lineRule="auto"/>
        <w:rPr>
          <w:b/>
          <w:bCs/>
          <w:sz w:val="28"/>
          <w:szCs w:val="28"/>
        </w:rPr>
      </w:pPr>
    </w:p>
    <w:p w14:paraId="6C02F357" w14:textId="614CB841" w:rsidR="00E40A99" w:rsidRPr="00395469" w:rsidRDefault="00395469" w:rsidP="00073112">
      <w:pPr>
        <w:spacing w:line="360" w:lineRule="auto"/>
        <w:rPr>
          <w:b/>
          <w:bCs/>
          <w:sz w:val="28"/>
          <w:szCs w:val="28"/>
        </w:rPr>
      </w:pPr>
      <w:r w:rsidRPr="00395469">
        <w:rPr>
          <w:b/>
          <w:bCs/>
          <w:sz w:val="28"/>
          <w:szCs w:val="28"/>
        </w:rPr>
        <w:t>TTM-Link to Motivational Interviewing</w:t>
      </w:r>
    </w:p>
    <w:p w14:paraId="508A5AE9" w14:textId="58E6E1CF" w:rsidR="00E40A99" w:rsidRDefault="00073112" w:rsidP="00073112">
      <w:pPr>
        <w:spacing w:line="360" w:lineRule="auto"/>
        <w:rPr>
          <w:sz w:val="28"/>
          <w:szCs w:val="28"/>
        </w:rPr>
      </w:pPr>
      <w:r w:rsidRPr="00073112">
        <w:rPr>
          <w:sz w:val="28"/>
          <w:szCs w:val="28"/>
        </w:rPr>
        <w:t xml:space="preserve">TTM provides a </w:t>
      </w:r>
      <w:r w:rsidR="00E40A99">
        <w:rPr>
          <w:sz w:val="28"/>
          <w:szCs w:val="28"/>
        </w:rPr>
        <w:t>________________</w:t>
      </w:r>
      <w:r w:rsidRPr="00073112">
        <w:rPr>
          <w:sz w:val="28"/>
          <w:szCs w:val="28"/>
        </w:rPr>
        <w:t xml:space="preserve"> for</w:t>
      </w:r>
      <w:r w:rsidR="00E40A99">
        <w:rPr>
          <w:sz w:val="28"/>
          <w:szCs w:val="28"/>
        </w:rPr>
        <w:t xml:space="preserve"> understanding behavior change</w:t>
      </w:r>
      <w:r>
        <w:rPr>
          <w:sz w:val="28"/>
          <w:szCs w:val="28"/>
        </w:rPr>
        <w:t>, but ________________________</w:t>
      </w:r>
      <w:r w:rsidRPr="00073112">
        <w:rPr>
          <w:sz w:val="28"/>
          <w:szCs w:val="28"/>
        </w:rPr>
        <w:t xml:space="preserve"> is how </w:t>
      </w:r>
      <w:r>
        <w:rPr>
          <w:sz w:val="28"/>
          <w:szCs w:val="28"/>
        </w:rPr>
        <w:t>one person can</w:t>
      </w:r>
      <w:r w:rsidRPr="00073112">
        <w:rPr>
          <w:sz w:val="28"/>
          <w:szCs w:val="28"/>
        </w:rPr>
        <w:t xml:space="preserve"> help another person move through the change process</w:t>
      </w:r>
      <w:r w:rsidRPr="00073112">
        <w:rPr>
          <w:sz w:val="28"/>
          <w:szCs w:val="28"/>
          <w:vertAlign w:val="superscript"/>
        </w:rPr>
        <w:t>4</w:t>
      </w:r>
      <w:proofErr w:type="gramStart"/>
      <w:r w:rsidRPr="00073112">
        <w:rPr>
          <w:sz w:val="28"/>
          <w:szCs w:val="28"/>
          <w:vertAlign w:val="superscript"/>
        </w:rPr>
        <w:t>,6</w:t>
      </w:r>
      <w:bookmarkEnd w:id="0"/>
      <w:proofErr w:type="gramEnd"/>
      <w:r w:rsidR="00DE5091">
        <w:rPr>
          <w:sz w:val="28"/>
          <w:szCs w:val="28"/>
        </w:rPr>
        <w:t>.</w:t>
      </w:r>
    </w:p>
    <w:p w14:paraId="35D3076A" w14:textId="7C14FC05" w:rsidR="00E40A99" w:rsidRDefault="00E40A99" w:rsidP="00073112">
      <w:pPr>
        <w:spacing w:line="360" w:lineRule="auto"/>
        <w:rPr>
          <w:sz w:val="28"/>
          <w:szCs w:val="28"/>
        </w:rPr>
      </w:pPr>
    </w:p>
    <w:p w14:paraId="2017E2B4" w14:textId="73603901" w:rsidR="00E40A99" w:rsidRPr="00073112" w:rsidRDefault="00E40A99" w:rsidP="00073112">
      <w:pPr>
        <w:spacing w:line="360" w:lineRule="auto"/>
        <w:rPr>
          <w:sz w:val="28"/>
          <w:szCs w:val="28"/>
          <w:vertAlign w:val="superscript"/>
        </w:rPr>
      </w:pPr>
    </w:p>
    <w:p w14:paraId="1D1BF70B" w14:textId="48A78355" w:rsidR="00A23490" w:rsidRDefault="00073112" w:rsidP="004F09B4">
      <w:pPr>
        <w:pStyle w:val="ListParagraph"/>
        <w:ind w:hanging="540"/>
        <w:jc w:val="center"/>
      </w:pPr>
      <w:r>
        <w:rPr>
          <w:noProof/>
        </w:rPr>
        <w:lastRenderedPageBreak/>
        <w:drawing>
          <wp:inline distT="0" distB="0" distL="0" distR="0" wp14:anchorId="45DD6315" wp14:editId="410D8AD1">
            <wp:extent cx="5457649" cy="3069608"/>
            <wp:effectExtent l="19050" t="19050" r="10160" b="16510"/>
            <wp:docPr id="2" name="Picture 2" descr="Screenshot of the slide from powerpoint with take home message. Consider: What cues do you currently use to understand your patients' readiness to change? How do you try to help them move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649" cy="3069608"/>
                    </a:xfrm>
                    <a:prstGeom prst="rect">
                      <a:avLst/>
                    </a:prstGeom>
                    <a:noFill/>
                    <a:ln>
                      <a:solidFill>
                        <a:schemeClr val="tx1"/>
                      </a:solidFill>
                    </a:ln>
                  </pic:spPr>
                </pic:pic>
              </a:graphicData>
            </a:graphic>
          </wp:inline>
        </w:drawing>
      </w:r>
    </w:p>
    <w:p w14:paraId="660F10E8" w14:textId="023A9F34" w:rsidR="00E40A99" w:rsidRDefault="00E40A99" w:rsidP="001A4350">
      <w:pPr>
        <w:pStyle w:val="ListParagraph"/>
      </w:pPr>
    </w:p>
    <w:p w14:paraId="408069E3" w14:textId="77777777" w:rsidR="00E40A99" w:rsidRDefault="00E40A99" w:rsidP="001A4350">
      <w:pPr>
        <w:pStyle w:val="ListParagraph"/>
      </w:pPr>
    </w:p>
    <w:p w14:paraId="2350234D" w14:textId="6B08826C" w:rsidR="00CA0506" w:rsidRDefault="00CA0506" w:rsidP="001A4350">
      <w:pPr>
        <w:pStyle w:val="ListParagraph"/>
      </w:pPr>
      <w:r>
        <w:t xml:space="preserve">References: </w:t>
      </w:r>
    </w:p>
    <w:p w14:paraId="0ADC7EA2" w14:textId="77777777" w:rsidR="00E40A99" w:rsidRDefault="00E40A99" w:rsidP="001A4350">
      <w:pPr>
        <w:pStyle w:val="ListParagraph"/>
      </w:pPr>
    </w:p>
    <w:p w14:paraId="2F75DFE4" w14:textId="77777777" w:rsidR="008E6CEA" w:rsidRPr="00E40A99" w:rsidRDefault="00AD14FA" w:rsidP="00E40A99">
      <w:pPr>
        <w:pStyle w:val="ListParagraph"/>
        <w:numPr>
          <w:ilvl w:val="0"/>
          <w:numId w:val="4"/>
        </w:numPr>
      </w:pPr>
      <w:proofErr w:type="spellStart"/>
      <w:r w:rsidRPr="00E40A99">
        <w:t>Tuccero</w:t>
      </w:r>
      <w:proofErr w:type="spellEnd"/>
      <w:r w:rsidRPr="00E40A99">
        <w:t xml:space="preserve">, </w:t>
      </w:r>
      <w:proofErr w:type="spellStart"/>
      <w:r w:rsidRPr="00E40A99">
        <w:t>Railey</w:t>
      </w:r>
      <w:proofErr w:type="spellEnd"/>
      <w:r w:rsidRPr="00E40A99">
        <w:t xml:space="preserve">, Briggs &amp; Hull (2016). Behavioral Health in Prevention and Chronic Illness Management, Primary Care: Clinics in Office Practice, 43, 191-102. </w:t>
      </w:r>
      <w:proofErr w:type="spellStart"/>
      <w:r w:rsidRPr="00E40A99">
        <w:t>doi</w:t>
      </w:r>
      <w:proofErr w:type="spellEnd"/>
      <w:r w:rsidRPr="00E40A99">
        <w:t>: 10.1016/j.pop.2016.01.006</w:t>
      </w:r>
    </w:p>
    <w:p w14:paraId="581AFE60" w14:textId="77777777" w:rsidR="008E6CEA" w:rsidRPr="00E40A99" w:rsidRDefault="00AD14FA" w:rsidP="00E40A99">
      <w:pPr>
        <w:pStyle w:val="ListParagraph"/>
        <w:numPr>
          <w:ilvl w:val="0"/>
          <w:numId w:val="4"/>
        </w:numPr>
      </w:pPr>
      <w:r w:rsidRPr="00E40A99">
        <w:t xml:space="preserve">Glanz, K., </w:t>
      </w:r>
      <w:proofErr w:type="spellStart"/>
      <w:r w:rsidRPr="00E40A99">
        <w:t>Rimer</w:t>
      </w:r>
      <w:proofErr w:type="spellEnd"/>
      <w:r w:rsidRPr="00E40A99">
        <w:t xml:space="preserve">, B. &amp; Viswanath, K. (Eds.). (2015). </w:t>
      </w:r>
      <w:r w:rsidRPr="00E40A99">
        <w:rPr>
          <w:i/>
          <w:iCs/>
        </w:rPr>
        <w:t>Health Behavior: theory, research and practice</w:t>
      </w:r>
      <w:r w:rsidRPr="00E40A99">
        <w:t xml:space="preserve">. San Francisco: Jossey-Bass. </w:t>
      </w:r>
    </w:p>
    <w:p w14:paraId="1E9D8CD5" w14:textId="77777777" w:rsidR="008E6CEA" w:rsidRPr="00E40A99" w:rsidRDefault="00AD14FA" w:rsidP="00E40A99">
      <w:pPr>
        <w:pStyle w:val="ListParagraph"/>
        <w:numPr>
          <w:ilvl w:val="0"/>
          <w:numId w:val="4"/>
        </w:numPr>
      </w:pPr>
      <w:r w:rsidRPr="00E40A99">
        <w:t xml:space="preserve">Constance, A. &amp; Sauter, C. (2011). </w:t>
      </w:r>
      <w:r w:rsidRPr="00E40A99">
        <w:rPr>
          <w:i/>
          <w:iCs/>
        </w:rPr>
        <w:t>Inspiring and Supporting Behavior Change</w:t>
      </w:r>
      <w:r w:rsidRPr="00E40A99">
        <w:t xml:space="preserve">. United States: American Dietetic Association. </w:t>
      </w:r>
    </w:p>
    <w:p w14:paraId="1D3086B2" w14:textId="77777777" w:rsidR="008E6CEA" w:rsidRPr="00E40A99" w:rsidRDefault="00AD14FA" w:rsidP="00E40A99">
      <w:pPr>
        <w:pStyle w:val="ListParagraph"/>
        <w:numPr>
          <w:ilvl w:val="0"/>
          <w:numId w:val="4"/>
        </w:numPr>
      </w:pPr>
      <w:r w:rsidRPr="00E40A99">
        <w:t xml:space="preserve">Gold, M., Kelly, T., </w:t>
      </w:r>
      <w:proofErr w:type="spellStart"/>
      <w:r w:rsidRPr="00E40A99">
        <w:t>Douihy</w:t>
      </w:r>
      <w:proofErr w:type="spellEnd"/>
      <w:r w:rsidRPr="00E40A99">
        <w:t xml:space="preserve">, A. (2015). </w:t>
      </w:r>
      <w:r w:rsidRPr="00E40A99">
        <w:rPr>
          <w:i/>
          <w:iCs/>
        </w:rPr>
        <w:t xml:space="preserve">Motivational </w:t>
      </w:r>
      <w:proofErr w:type="gramStart"/>
      <w:r w:rsidRPr="00E40A99">
        <w:rPr>
          <w:i/>
          <w:iCs/>
        </w:rPr>
        <w:t>Interviewing :</w:t>
      </w:r>
      <w:proofErr w:type="gramEnd"/>
      <w:r w:rsidRPr="00E40A99">
        <w:rPr>
          <w:i/>
          <w:iCs/>
        </w:rPr>
        <w:t xml:space="preserve"> A Guide for Medical Trainees. </w:t>
      </w:r>
      <w:r w:rsidRPr="00E40A99">
        <w:t xml:space="preserve">New York: Oxford University Press. </w:t>
      </w:r>
    </w:p>
    <w:p w14:paraId="69AC20CB" w14:textId="77777777" w:rsidR="008E6CEA" w:rsidRPr="00E40A99" w:rsidRDefault="00AD14FA" w:rsidP="00E40A99">
      <w:pPr>
        <w:pStyle w:val="ListParagraph"/>
        <w:numPr>
          <w:ilvl w:val="0"/>
          <w:numId w:val="4"/>
        </w:numPr>
      </w:pPr>
      <w:r w:rsidRPr="00E40A99">
        <w:t>Prochaska, J. (1997). The Transtheoretical Model of Health Behavior Change. American Journal of Public Health, 12(1), 38-48.</w:t>
      </w:r>
    </w:p>
    <w:p w14:paraId="0B730C8D" w14:textId="77777777" w:rsidR="008E6CEA" w:rsidRPr="00E40A99" w:rsidRDefault="00AD14FA" w:rsidP="00E40A99">
      <w:pPr>
        <w:pStyle w:val="ListParagraph"/>
        <w:numPr>
          <w:ilvl w:val="0"/>
          <w:numId w:val="4"/>
        </w:numPr>
      </w:pPr>
      <w:r w:rsidRPr="00E40A99">
        <w:t xml:space="preserve">Britt, E., Hudson, S. &amp; </w:t>
      </w:r>
      <w:proofErr w:type="spellStart"/>
      <w:r w:rsidRPr="00E40A99">
        <w:t>Blampied</w:t>
      </w:r>
      <w:proofErr w:type="spellEnd"/>
      <w:r w:rsidRPr="00E40A99">
        <w:t xml:space="preserve">, N. (2003). Motivational Interviewing in Health Settings: A Review, 53, 147-155. </w:t>
      </w:r>
    </w:p>
    <w:p w14:paraId="0ED8ABA4" w14:textId="77777777" w:rsidR="00CA0506" w:rsidRDefault="00CA0506" w:rsidP="001A4350">
      <w:pPr>
        <w:pStyle w:val="ListParagraph"/>
      </w:pPr>
    </w:p>
    <w:sectPr w:rsidR="00CA0506" w:rsidSect="004636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6640" w14:textId="77777777" w:rsidR="008D459F" w:rsidRDefault="008D459F" w:rsidP="00CA0506">
      <w:pPr>
        <w:spacing w:after="0" w:line="240" w:lineRule="auto"/>
      </w:pPr>
      <w:r>
        <w:separator/>
      </w:r>
    </w:p>
  </w:endnote>
  <w:endnote w:type="continuationSeparator" w:id="0">
    <w:p w14:paraId="537FB29C" w14:textId="77777777" w:rsidR="008D459F" w:rsidRDefault="008D459F"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1CF6" w14:textId="77777777" w:rsidR="00B829F5" w:rsidRDefault="00B82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780E" w14:textId="514D10B3" w:rsidR="00B829F5" w:rsidRPr="00B829F5" w:rsidRDefault="00B829F5" w:rsidP="00B829F5">
    <w:pPr>
      <w:spacing w:after="0" w:line="240" w:lineRule="auto"/>
      <w:jc w:val="center"/>
      <w:rPr>
        <w:rFonts w:ascii="Times New Roman" w:eastAsia="Times New Roman" w:hAnsi="Times New Roman" w:cs="Times New Roman"/>
        <w:i/>
        <w:sz w:val="20"/>
        <w:szCs w:val="24"/>
      </w:rPr>
    </w:pPr>
    <w:r w:rsidRPr="00B829F5">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F442" w14:textId="77777777" w:rsidR="00B829F5" w:rsidRDefault="00B8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22E3" w14:textId="77777777" w:rsidR="008D459F" w:rsidRDefault="008D459F" w:rsidP="00CA0506">
      <w:pPr>
        <w:spacing w:after="0" w:line="240" w:lineRule="auto"/>
      </w:pPr>
      <w:r>
        <w:separator/>
      </w:r>
    </w:p>
  </w:footnote>
  <w:footnote w:type="continuationSeparator" w:id="0">
    <w:p w14:paraId="2034AC51" w14:textId="77777777" w:rsidR="008D459F" w:rsidRDefault="008D459F"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485F" w14:textId="77777777" w:rsidR="00B829F5" w:rsidRDefault="00B82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494D6050" w:rsidR="00CA0506" w:rsidRPr="000A57EF" w:rsidRDefault="00CA0506" w:rsidP="000A57EF">
    <w:pPr>
      <w:pStyle w:val="Header"/>
      <w:jc w:val="center"/>
      <w:rPr>
        <w:b/>
        <w:bCs/>
        <w:i/>
        <w:color w:val="1F3864" w:themeColor="accent1" w:themeShade="8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5A55" w14:textId="3FC27F63" w:rsidR="0046362F" w:rsidRPr="00A74FEE" w:rsidRDefault="0046362F" w:rsidP="0046362F">
    <w:pPr>
      <w:pStyle w:val="Header"/>
      <w:jc w:val="center"/>
      <w:rPr>
        <w:b/>
        <w:bCs/>
        <w:iCs/>
        <w:color w:val="2E74B5" w:themeColor="accent5" w:themeShade="BF"/>
        <w:sz w:val="60"/>
        <w:szCs w:val="60"/>
      </w:rPr>
    </w:pPr>
    <w:r>
      <w:rPr>
        <w:b/>
        <w:bCs/>
        <w:iCs/>
        <w:color w:val="2E74B5" w:themeColor="accent5" w:themeShade="BF"/>
        <w:sz w:val="60"/>
        <w:szCs w:val="60"/>
      </w:rPr>
      <w:t>Motivational Interviewing Module 3</w:t>
    </w:r>
    <w:r w:rsidRPr="00A74FEE">
      <w:rPr>
        <w:b/>
        <w:bCs/>
        <w:iCs/>
        <w:color w:val="2E74B5" w:themeColor="accent5" w:themeShade="BF"/>
        <w:sz w:val="60"/>
        <w:szCs w:val="60"/>
      </w:rPr>
      <w:t xml:space="preserve"> Key Concepts Handout</w:t>
    </w:r>
  </w:p>
  <w:p w14:paraId="3783A3C4" w14:textId="77777777" w:rsidR="0046362F" w:rsidRDefault="0046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1"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2"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A57EF"/>
    <w:rsid w:val="001A4350"/>
    <w:rsid w:val="00257659"/>
    <w:rsid w:val="00343B50"/>
    <w:rsid w:val="00395469"/>
    <w:rsid w:val="003D1C55"/>
    <w:rsid w:val="0046362F"/>
    <w:rsid w:val="00497577"/>
    <w:rsid w:val="004F09B4"/>
    <w:rsid w:val="008D459F"/>
    <w:rsid w:val="008E6CEA"/>
    <w:rsid w:val="00915DB7"/>
    <w:rsid w:val="00A23490"/>
    <w:rsid w:val="00A24040"/>
    <w:rsid w:val="00A90914"/>
    <w:rsid w:val="00AD14FA"/>
    <w:rsid w:val="00B13651"/>
    <w:rsid w:val="00B829F5"/>
    <w:rsid w:val="00BB3E74"/>
    <w:rsid w:val="00CA0506"/>
    <w:rsid w:val="00D542C9"/>
    <w:rsid w:val="00DE5091"/>
    <w:rsid w:val="00DF0FE7"/>
    <w:rsid w:val="00E40A99"/>
    <w:rsid w:val="00E84856"/>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 w:id="21335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5</cp:revision>
  <dcterms:created xsi:type="dcterms:W3CDTF">2019-09-13T01:03:00Z</dcterms:created>
  <dcterms:modified xsi:type="dcterms:W3CDTF">2019-11-21T19:36:00Z</dcterms:modified>
</cp:coreProperties>
</file>