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C20B" w14:textId="13EC6348" w:rsidR="00A62897" w:rsidRDefault="00A62897" w:rsidP="00A62897">
      <w:pPr>
        <w:spacing w:line="288" w:lineRule="auto"/>
        <w:rPr>
          <w:b/>
          <w:sz w:val="28"/>
          <w:szCs w:val="28"/>
        </w:rPr>
      </w:pPr>
      <w:r w:rsidRPr="00A62897">
        <w:rPr>
          <w:b/>
          <w:sz w:val="28"/>
          <w:szCs w:val="28"/>
        </w:rPr>
        <w:t>Psychology of Scarcity</w:t>
      </w:r>
    </w:p>
    <w:p w14:paraId="7BCA1F65" w14:textId="2080DEB3" w:rsidR="00A62897" w:rsidRDefault="00A62897" w:rsidP="00A62897">
      <w:pPr>
        <w:spacing w:line="288" w:lineRule="auto"/>
        <w:rPr>
          <w:sz w:val="28"/>
          <w:szCs w:val="28"/>
        </w:rPr>
      </w:pPr>
      <w:r w:rsidRPr="00A62897">
        <w:rPr>
          <w:sz w:val="28"/>
          <w:szCs w:val="28"/>
        </w:rPr>
        <w:t xml:space="preserve">Scarcity focuses the mind automatically and powerfully on </w:t>
      </w:r>
      <w:r w:rsidR="00B950B9" w:rsidRPr="00B950B9">
        <w:rPr>
          <w:b/>
          <w:sz w:val="28"/>
          <w:szCs w:val="28"/>
          <w:u w:val="single"/>
        </w:rPr>
        <w:t>immediate</w:t>
      </w:r>
      <w:r w:rsidR="00B950B9">
        <w:rPr>
          <w:sz w:val="28"/>
          <w:szCs w:val="28"/>
        </w:rPr>
        <w:t xml:space="preserve"> </w:t>
      </w:r>
      <w:r w:rsidRPr="00A62897">
        <w:rPr>
          <w:sz w:val="28"/>
          <w:szCs w:val="28"/>
        </w:rPr>
        <w:t>needs and challenges</w:t>
      </w:r>
      <w:r w:rsidR="00EC4698" w:rsidRPr="00EC4698">
        <w:rPr>
          <w:sz w:val="28"/>
          <w:szCs w:val="28"/>
          <w:vertAlign w:val="superscript"/>
        </w:rPr>
        <w:t>7</w:t>
      </w:r>
      <w:proofErr w:type="gramStart"/>
      <w:r w:rsidR="00EC4698" w:rsidRPr="00EC4698">
        <w:rPr>
          <w:sz w:val="28"/>
          <w:szCs w:val="28"/>
          <w:vertAlign w:val="superscript"/>
        </w:rPr>
        <w:t>,8</w:t>
      </w:r>
      <w:bookmarkStart w:id="0" w:name="_GoBack"/>
      <w:bookmarkEnd w:id="0"/>
      <w:proofErr w:type="gramEnd"/>
    </w:p>
    <w:p w14:paraId="205CB5BC" w14:textId="3A270F72" w:rsidR="00A62897" w:rsidRPr="00A62897" w:rsidRDefault="00A62897" w:rsidP="00A62897">
      <w:pPr>
        <w:spacing w:line="288" w:lineRule="auto"/>
        <w:rPr>
          <w:b/>
          <w:sz w:val="28"/>
          <w:szCs w:val="28"/>
        </w:rPr>
      </w:pPr>
      <w:r w:rsidRPr="00A62897">
        <w:rPr>
          <w:b/>
          <w:sz w:val="28"/>
          <w:szCs w:val="28"/>
        </w:rPr>
        <w:t>Cognitive Capacity (“Mental Bandwidth”)</w:t>
      </w:r>
    </w:p>
    <w:p w14:paraId="703AF840" w14:textId="07885332" w:rsidR="00A62897" w:rsidRDefault="00A62897" w:rsidP="00A62897">
      <w:pPr>
        <w:spacing w:line="288" w:lineRule="auto"/>
        <w:ind w:left="360"/>
        <w:rPr>
          <w:b/>
          <w:sz w:val="28"/>
          <w:szCs w:val="28"/>
        </w:rPr>
      </w:pPr>
      <w:r w:rsidRPr="00A6289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9672687" wp14:editId="35FBF4AA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4843780" cy="2162175"/>
            <wp:effectExtent l="19050" t="19050" r="13970" b="28575"/>
            <wp:wrapTight wrapText="bothSides">
              <wp:wrapPolygon edited="0">
                <wp:start x="-85" y="-190"/>
                <wp:lineTo x="-85" y="21695"/>
                <wp:lineTo x="21577" y="21695"/>
                <wp:lineTo x="21577" y="-190"/>
                <wp:lineTo x="-85" y="-190"/>
              </wp:wrapPolygon>
            </wp:wrapTight>
            <wp:docPr id="2" name="Picture 2" descr="venn diagram showing the overlap of money and food stressors and venn diagram showing the overlap of money, utilities, employment and food stressor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5" b="1087"/>
                    <a:stretch/>
                  </pic:blipFill>
                  <pic:spPr bwMode="auto">
                    <a:xfrm>
                      <a:off x="0" y="0"/>
                      <a:ext cx="4843780" cy="21621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A4110" w14:textId="77777777" w:rsidR="00A62897" w:rsidRDefault="00A62897" w:rsidP="00A62897">
      <w:pPr>
        <w:spacing w:line="288" w:lineRule="auto"/>
        <w:ind w:left="360"/>
        <w:rPr>
          <w:b/>
          <w:sz w:val="28"/>
          <w:szCs w:val="28"/>
        </w:rPr>
      </w:pPr>
    </w:p>
    <w:p w14:paraId="04F5AFDC" w14:textId="77777777" w:rsidR="00A62897" w:rsidRDefault="00A62897" w:rsidP="00A62897">
      <w:pPr>
        <w:spacing w:line="288" w:lineRule="auto"/>
        <w:ind w:left="360"/>
        <w:rPr>
          <w:b/>
          <w:sz w:val="28"/>
          <w:szCs w:val="28"/>
        </w:rPr>
      </w:pPr>
    </w:p>
    <w:p w14:paraId="180F592C" w14:textId="77777777" w:rsidR="00A62897" w:rsidRDefault="00A62897" w:rsidP="00A62897">
      <w:pPr>
        <w:spacing w:line="288" w:lineRule="auto"/>
        <w:ind w:left="360"/>
        <w:rPr>
          <w:b/>
          <w:sz w:val="28"/>
          <w:szCs w:val="28"/>
        </w:rPr>
      </w:pPr>
    </w:p>
    <w:p w14:paraId="6FB0ED44" w14:textId="77777777" w:rsidR="00A62897" w:rsidRDefault="00A62897" w:rsidP="00A62897">
      <w:pPr>
        <w:spacing w:line="288" w:lineRule="auto"/>
        <w:ind w:left="360"/>
        <w:rPr>
          <w:b/>
          <w:sz w:val="28"/>
          <w:szCs w:val="28"/>
        </w:rPr>
      </w:pPr>
    </w:p>
    <w:p w14:paraId="68BBCEF5" w14:textId="1B4E946A" w:rsidR="00A62897" w:rsidRDefault="00A62897" w:rsidP="00A62897">
      <w:pPr>
        <w:spacing w:line="288" w:lineRule="auto"/>
        <w:rPr>
          <w:b/>
          <w:sz w:val="28"/>
          <w:szCs w:val="28"/>
        </w:rPr>
      </w:pPr>
    </w:p>
    <w:p w14:paraId="12AB2234" w14:textId="77777777" w:rsidR="00A62897" w:rsidRDefault="00A62897" w:rsidP="00A62897">
      <w:pPr>
        <w:spacing w:line="288" w:lineRule="auto"/>
        <w:ind w:left="360"/>
        <w:rPr>
          <w:b/>
          <w:sz w:val="28"/>
          <w:szCs w:val="28"/>
        </w:rPr>
      </w:pPr>
    </w:p>
    <w:p w14:paraId="523A783B" w14:textId="34935185" w:rsidR="00A62897" w:rsidRPr="00A62897" w:rsidRDefault="00A62897" w:rsidP="00A62897">
      <w:pPr>
        <w:spacing w:line="288" w:lineRule="auto"/>
        <w:rPr>
          <w:b/>
          <w:sz w:val="28"/>
          <w:szCs w:val="28"/>
        </w:rPr>
      </w:pPr>
      <w:r w:rsidRPr="00A62897">
        <w:rPr>
          <w:b/>
          <w:sz w:val="28"/>
          <w:szCs w:val="28"/>
        </w:rPr>
        <w:t>Scarcity &amp; Chronic Stress</w:t>
      </w:r>
    </w:p>
    <w:p w14:paraId="3FBCC1A9" w14:textId="09405E48" w:rsidR="00A62897" w:rsidRPr="00A62897" w:rsidRDefault="00B950B9" w:rsidP="00A62897">
      <w:pPr>
        <w:spacing w:line="288" w:lineRule="auto"/>
        <w:ind w:left="360"/>
        <w:rPr>
          <w:sz w:val="28"/>
          <w:szCs w:val="28"/>
          <w:vertAlign w:val="superscript"/>
        </w:rPr>
      </w:pPr>
      <w:r w:rsidRPr="00B950B9">
        <w:rPr>
          <w:b/>
          <w:sz w:val="28"/>
          <w:szCs w:val="28"/>
          <w:u w:val="single"/>
        </w:rPr>
        <w:t>Long-term</w:t>
      </w:r>
      <w:r>
        <w:rPr>
          <w:sz w:val="28"/>
          <w:szCs w:val="28"/>
        </w:rPr>
        <w:t xml:space="preserve"> </w:t>
      </w:r>
      <w:r w:rsidR="00A62897" w:rsidRPr="00A62897">
        <w:rPr>
          <w:sz w:val="28"/>
          <w:szCs w:val="28"/>
        </w:rPr>
        <w:t>activation of the stress-response system can disrupt almost all of the body’s processes and increase the risk for numerous health problems</w:t>
      </w:r>
      <w:r w:rsidR="00A62897" w:rsidRPr="00A62897">
        <w:rPr>
          <w:sz w:val="28"/>
          <w:szCs w:val="28"/>
          <w:vertAlign w:val="superscript"/>
        </w:rPr>
        <w:t>3</w:t>
      </w:r>
    </w:p>
    <w:p w14:paraId="06DF9413" w14:textId="35CDC1D4" w:rsidR="00A62897" w:rsidRPr="00A62897" w:rsidRDefault="00A62897" w:rsidP="00A62897">
      <w:pPr>
        <w:spacing w:line="288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Allostatic</w:t>
      </w:r>
      <w:proofErr w:type="spellEnd"/>
      <w:r>
        <w:rPr>
          <w:b/>
          <w:sz w:val="28"/>
          <w:szCs w:val="28"/>
        </w:rPr>
        <w:t xml:space="preserve"> Overload</w:t>
      </w:r>
    </w:p>
    <w:p w14:paraId="13AB3E9D" w14:textId="5745CD33" w:rsidR="00A62897" w:rsidRPr="00A62897" w:rsidRDefault="00A62897" w:rsidP="00A6289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“…</w:t>
      </w:r>
      <w:r w:rsidRPr="00A62897">
        <w:rPr>
          <w:sz w:val="28"/>
          <w:szCs w:val="28"/>
        </w:rPr>
        <w:t xml:space="preserve">the cumulative biological burden exacted on the body through </w:t>
      </w:r>
      <w:r>
        <w:rPr>
          <w:sz w:val="28"/>
          <w:szCs w:val="28"/>
        </w:rPr>
        <w:t>daily</w:t>
      </w:r>
      <w:r w:rsidR="00B950B9">
        <w:rPr>
          <w:sz w:val="28"/>
          <w:szCs w:val="28"/>
        </w:rPr>
        <w:t xml:space="preserve"> adaptation </w:t>
      </w:r>
      <w:r w:rsidRPr="00A62897">
        <w:rPr>
          <w:sz w:val="28"/>
          <w:szCs w:val="28"/>
        </w:rPr>
        <w:t xml:space="preserve">to physical and emotional </w:t>
      </w:r>
      <w:r w:rsidR="00B950B9" w:rsidRPr="00B950B9">
        <w:rPr>
          <w:b/>
          <w:sz w:val="28"/>
          <w:szCs w:val="28"/>
          <w:u w:val="single"/>
        </w:rPr>
        <w:t>stress</w:t>
      </w:r>
      <w:r w:rsidRPr="00A62897">
        <w:rPr>
          <w:sz w:val="28"/>
          <w:szCs w:val="28"/>
        </w:rPr>
        <w:t>”</w:t>
      </w:r>
      <w:r w:rsidRPr="00A62897">
        <w:rPr>
          <w:sz w:val="28"/>
          <w:szCs w:val="28"/>
          <w:vertAlign w:val="superscript"/>
        </w:rPr>
        <w:t>5</w:t>
      </w:r>
    </w:p>
    <w:p w14:paraId="0BDC41E9" w14:textId="1E4181B6" w:rsidR="007F3C7A" w:rsidRDefault="00A62897" w:rsidP="00A62897">
      <w:pPr>
        <w:spacing w:line="360" w:lineRule="auto"/>
        <w:ind w:left="36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Allostatic</w:t>
      </w:r>
      <w:proofErr w:type="spellEnd"/>
      <w:r>
        <w:rPr>
          <w:sz w:val="28"/>
          <w:szCs w:val="28"/>
        </w:rPr>
        <w:t xml:space="preserve"> overload can increase risk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>:</w:t>
      </w:r>
    </w:p>
    <w:p w14:paraId="1095A388" w14:textId="77777777" w:rsidR="00814BD9" w:rsidRPr="00A62897" w:rsidRDefault="00AE2A65" w:rsidP="00A62897">
      <w:pPr>
        <w:numPr>
          <w:ilvl w:val="0"/>
          <w:numId w:val="13"/>
        </w:numPr>
        <w:spacing w:line="288" w:lineRule="auto"/>
        <w:contextualSpacing/>
        <w:rPr>
          <w:sz w:val="28"/>
          <w:szCs w:val="28"/>
        </w:rPr>
      </w:pPr>
      <w:r w:rsidRPr="00A62897">
        <w:rPr>
          <w:sz w:val="28"/>
          <w:szCs w:val="28"/>
        </w:rPr>
        <w:t>Depression</w:t>
      </w:r>
    </w:p>
    <w:p w14:paraId="57AF62CF" w14:textId="77777777" w:rsidR="00814BD9" w:rsidRPr="00A62897" w:rsidRDefault="00AE2A65" w:rsidP="00A62897">
      <w:pPr>
        <w:numPr>
          <w:ilvl w:val="0"/>
          <w:numId w:val="13"/>
        </w:numPr>
        <w:spacing w:line="288" w:lineRule="auto"/>
        <w:contextualSpacing/>
        <w:rPr>
          <w:sz w:val="28"/>
          <w:szCs w:val="28"/>
        </w:rPr>
      </w:pPr>
      <w:r w:rsidRPr="00A62897">
        <w:rPr>
          <w:sz w:val="28"/>
          <w:szCs w:val="28"/>
        </w:rPr>
        <w:t xml:space="preserve">Cognitive impairment </w:t>
      </w:r>
    </w:p>
    <w:p w14:paraId="7E6E8732" w14:textId="77777777" w:rsidR="00814BD9" w:rsidRPr="00A62897" w:rsidRDefault="00AE2A65" w:rsidP="00A62897">
      <w:pPr>
        <w:numPr>
          <w:ilvl w:val="0"/>
          <w:numId w:val="13"/>
        </w:numPr>
        <w:spacing w:line="288" w:lineRule="auto"/>
        <w:contextualSpacing/>
        <w:rPr>
          <w:sz w:val="28"/>
          <w:szCs w:val="28"/>
        </w:rPr>
      </w:pPr>
      <w:r w:rsidRPr="00A62897">
        <w:rPr>
          <w:sz w:val="28"/>
          <w:szCs w:val="28"/>
        </w:rPr>
        <w:t>Inflammatory and autoimmune disorders</w:t>
      </w:r>
    </w:p>
    <w:p w14:paraId="71458DDC" w14:textId="77777777" w:rsidR="00814BD9" w:rsidRPr="00A62897" w:rsidRDefault="00AE2A65" w:rsidP="00A62897">
      <w:pPr>
        <w:numPr>
          <w:ilvl w:val="0"/>
          <w:numId w:val="13"/>
        </w:numPr>
        <w:spacing w:line="288" w:lineRule="auto"/>
        <w:contextualSpacing/>
        <w:rPr>
          <w:sz w:val="28"/>
          <w:szCs w:val="28"/>
        </w:rPr>
      </w:pPr>
      <w:r w:rsidRPr="00A62897">
        <w:rPr>
          <w:sz w:val="28"/>
          <w:szCs w:val="28"/>
        </w:rPr>
        <w:t>Coronary vascular disease</w:t>
      </w:r>
    </w:p>
    <w:p w14:paraId="01447656" w14:textId="61FE2873" w:rsidR="00B950B9" w:rsidRPr="00B950B9" w:rsidRDefault="00B950B9" w:rsidP="00A62897">
      <w:pPr>
        <w:numPr>
          <w:ilvl w:val="0"/>
          <w:numId w:val="13"/>
        </w:numPr>
        <w:spacing w:line="288" w:lineRule="auto"/>
        <w:contextualSpacing/>
        <w:rPr>
          <w:b/>
          <w:sz w:val="28"/>
          <w:szCs w:val="28"/>
          <w:u w:val="single"/>
        </w:rPr>
      </w:pPr>
      <w:r w:rsidRPr="00B950B9">
        <w:rPr>
          <w:b/>
          <w:sz w:val="28"/>
          <w:szCs w:val="28"/>
          <w:u w:val="single"/>
        </w:rPr>
        <w:t>Obesity</w:t>
      </w:r>
    </w:p>
    <w:p w14:paraId="5D263ADE" w14:textId="2BDE1125" w:rsidR="00A62897" w:rsidRPr="00A62897" w:rsidRDefault="00AE2A65" w:rsidP="00A62897">
      <w:pPr>
        <w:numPr>
          <w:ilvl w:val="0"/>
          <w:numId w:val="13"/>
        </w:numPr>
        <w:spacing w:line="288" w:lineRule="auto"/>
        <w:contextualSpacing/>
        <w:rPr>
          <w:sz w:val="28"/>
          <w:szCs w:val="28"/>
        </w:rPr>
      </w:pPr>
      <w:r w:rsidRPr="00A62897">
        <w:rPr>
          <w:sz w:val="28"/>
          <w:szCs w:val="28"/>
        </w:rPr>
        <w:t>Diabetes</w:t>
      </w:r>
      <w:r w:rsidRPr="00A62897">
        <w:rPr>
          <w:sz w:val="28"/>
          <w:szCs w:val="28"/>
          <w:vertAlign w:val="superscript"/>
        </w:rPr>
        <w:t>5</w:t>
      </w:r>
    </w:p>
    <w:p w14:paraId="79968A20" w14:textId="3B2B0120" w:rsidR="00A62897" w:rsidRPr="00A62897" w:rsidRDefault="00A62897" w:rsidP="00A62897">
      <w:pPr>
        <w:spacing w:line="288" w:lineRule="auto"/>
        <w:contextualSpacing/>
        <w:rPr>
          <w:sz w:val="28"/>
          <w:szCs w:val="28"/>
        </w:rPr>
      </w:pPr>
      <w:r w:rsidRPr="00A6289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380BFFB4" wp14:editId="1DE5EDB5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6096851" cy="3429479"/>
            <wp:effectExtent l="19050" t="19050" r="18415" b="19050"/>
            <wp:wrapTight wrapText="bothSides">
              <wp:wrapPolygon edited="0">
                <wp:start x="-67" y="-120"/>
                <wp:lineTo x="-67" y="21600"/>
                <wp:lineTo x="21598" y="21600"/>
                <wp:lineTo x="21598" y="-120"/>
                <wp:lineTo x="-67" y="-120"/>
              </wp:wrapPolygon>
            </wp:wrapTight>
            <wp:docPr id="4" name="Picture 4" descr="Consider: &#10;How do you currently work with patients who are struggling with multiple SDOH issues?&#10;What community resources are available for them in your area?&#10;Practice:&#10;Consider how many SDOH factors are impacting a person’s lif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219DF5C" w14:textId="00F7BD6F" w:rsidR="00A62897" w:rsidRPr="00A62897" w:rsidRDefault="00A62897" w:rsidP="007F3C7A">
      <w:pPr>
        <w:spacing w:line="360" w:lineRule="auto"/>
        <w:ind w:left="360"/>
        <w:rPr>
          <w:sz w:val="28"/>
          <w:szCs w:val="28"/>
        </w:rPr>
      </w:pPr>
    </w:p>
    <w:p w14:paraId="4682EC30" w14:textId="4866E5C2" w:rsidR="007F3C7A" w:rsidRPr="007F3C7A" w:rsidRDefault="007F3C7A" w:rsidP="007F3C7A">
      <w:pPr>
        <w:spacing w:line="360" w:lineRule="auto"/>
        <w:rPr>
          <w:b/>
          <w:sz w:val="18"/>
          <w:szCs w:val="18"/>
        </w:rPr>
      </w:pPr>
    </w:p>
    <w:p w14:paraId="5C9B4514" w14:textId="77777777" w:rsidR="007F3C7A" w:rsidRPr="007F3C7A" w:rsidRDefault="007F3C7A" w:rsidP="007F3C7A">
      <w:pPr>
        <w:spacing w:line="360" w:lineRule="auto"/>
        <w:ind w:left="360"/>
        <w:rPr>
          <w:b/>
          <w:sz w:val="10"/>
          <w:szCs w:val="10"/>
        </w:rPr>
      </w:pPr>
    </w:p>
    <w:p w14:paraId="407A4D3B" w14:textId="659B90DB" w:rsidR="007F3C7A" w:rsidRDefault="007F3C7A" w:rsidP="001A4350">
      <w:pPr>
        <w:pStyle w:val="ListParagraph"/>
      </w:pPr>
    </w:p>
    <w:p w14:paraId="1C111733" w14:textId="56B3B9BF" w:rsidR="00A62897" w:rsidRDefault="00A62897" w:rsidP="001A4350">
      <w:pPr>
        <w:pStyle w:val="ListParagraph"/>
      </w:pPr>
    </w:p>
    <w:p w14:paraId="47E9B365" w14:textId="6B940FD1" w:rsidR="00A62897" w:rsidRDefault="00A62897" w:rsidP="001A4350">
      <w:pPr>
        <w:pStyle w:val="ListParagraph"/>
      </w:pPr>
    </w:p>
    <w:p w14:paraId="2A2FB4DF" w14:textId="033A90E1" w:rsidR="00A62897" w:rsidRDefault="00A62897" w:rsidP="001A4350">
      <w:pPr>
        <w:pStyle w:val="ListParagraph"/>
      </w:pPr>
    </w:p>
    <w:p w14:paraId="78D4AE40" w14:textId="122DB508" w:rsidR="00A62897" w:rsidRDefault="00A62897" w:rsidP="001A4350">
      <w:pPr>
        <w:pStyle w:val="ListParagraph"/>
      </w:pPr>
    </w:p>
    <w:p w14:paraId="7E86ADF9" w14:textId="0FCD20E5" w:rsidR="00A62897" w:rsidRDefault="00A62897" w:rsidP="001A4350">
      <w:pPr>
        <w:pStyle w:val="ListParagraph"/>
      </w:pPr>
    </w:p>
    <w:p w14:paraId="4B73B959" w14:textId="319A621A" w:rsidR="00A62897" w:rsidRDefault="00A62897" w:rsidP="001A4350">
      <w:pPr>
        <w:pStyle w:val="ListParagraph"/>
      </w:pPr>
    </w:p>
    <w:p w14:paraId="0AB23FF6" w14:textId="734C82E7" w:rsidR="00A62897" w:rsidRDefault="00A62897" w:rsidP="001A4350">
      <w:pPr>
        <w:pStyle w:val="ListParagraph"/>
      </w:pPr>
    </w:p>
    <w:p w14:paraId="5946BD25" w14:textId="77777777" w:rsidR="00A62897" w:rsidRDefault="00A62897" w:rsidP="001A4350">
      <w:pPr>
        <w:pStyle w:val="ListParagraph"/>
      </w:pPr>
    </w:p>
    <w:p w14:paraId="4DA67361" w14:textId="6D2E3C83" w:rsidR="00E71116" w:rsidRDefault="00E71116" w:rsidP="001F081A">
      <w:pPr>
        <w:pStyle w:val="ListParagraph"/>
        <w:jc w:val="center"/>
      </w:pPr>
    </w:p>
    <w:p w14:paraId="7EF56DBA" w14:textId="77777777" w:rsidR="00EE5441" w:rsidRDefault="00EE5441" w:rsidP="009E33E0"/>
    <w:p w14:paraId="07BC1454" w14:textId="76A66CDA" w:rsidR="00EE5441" w:rsidRDefault="00EE5441" w:rsidP="00EE5441"/>
    <w:p w14:paraId="0ADC7EA2" w14:textId="6721D510" w:rsidR="00E40A99" w:rsidRDefault="00CA0506" w:rsidP="00EE5441">
      <w:r>
        <w:t xml:space="preserve">References: </w:t>
      </w:r>
    </w:p>
    <w:p w14:paraId="062C6482" w14:textId="77777777" w:rsidR="00814BD9" w:rsidRPr="00A62897" w:rsidRDefault="00AE2A65" w:rsidP="00A62897">
      <w:pPr>
        <w:pStyle w:val="ListParagraph"/>
        <w:numPr>
          <w:ilvl w:val="0"/>
          <w:numId w:val="14"/>
        </w:numPr>
      </w:pPr>
      <w:r w:rsidRPr="00A62897">
        <w:t>Conrad, CD (2008). Chronic Stress-Induced Hippocampal Vulnerability: The Glucocorticoid Vulnerability Hypothesis. Reviews in the Neurosciences, 19(6), 395–411.</w:t>
      </w:r>
    </w:p>
    <w:p w14:paraId="70188B2B" w14:textId="77777777" w:rsidR="00814BD9" w:rsidRPr="00A62897" w:rsidRDefault="00AE2A65" w:rsidP="00A62897">
      <w:pPr>
        <w:pStyle w:val="ListParagraph"/>
        <w:numPr>
          <w:ilvl w:val="0"/>
          <w:numId w:val="14"/>
        </w:numPr>
      </w:pPr>
      <w:r w:rsidRPr="00A62897">
        <w:t xml:space="preserve">Schofield, H, </w:t>
      </w:r>
      <w:proofErr w:type="spellStart"/>
      <w:r w:rsidRPr="00A62897">
        <w:t>Schilbach</w:t>
      </w:r>
      <w:proofErr w:type="spellEnd"/>
      <w:r w:rsidRPr="00A62897">
        <w:t xml:space="preserve">, F, and </w:t>
      </w:r>
      <w:proofErr w:type="spellStart"/>
      <w:r w:rsidRPr="00A62897">
        <w:t>Sendhil</w:t>
      </w:r>
      <w:proofErr w:type="spellEnd"/>
      <w:r w:rsidRPr="00A62897">
        <w:t xml:space="preserve"> M. 2016. "The Psychological Lives of the Poor." </w:t>
      </w:r>
      <w:r w:rsidRPr="00A62897">
        <w:rPr>
          <w:i/>
          <w:iCs/>
        </w:rPr>
        <w:t>American Economic Review</w:t>
      </w:r>
      <w:r w:rsidRPr="00A62897">
        <w:t>, 106 (5): 435-40.DOI: 10.1257/aer.p20161101</w:t>
      </w:r>
    </w:p>
    <w:p w14:paraId="789FD672" w14:textId="77777777" w:rsidR="00814BD9" w:rsidRPr="00A62897" w:rsidRDefault="00AE2A65" w:rsidP="00A62897">
      <w:pPr>
        <w:pStyle w:val="ListParagraph"/>
        <w:numPr>
          <w:ilvl w:val="0"/>
          <w:numId w:val="14"/>
        </w:numPr>
      </w:pPr>
      <w:r w:rsidRPr="00A62897">
        <w:t>McEwen, BS (2017). Neurobiological and Systemic Effects of Chronic Stress. </w:t>
      </w:r>
      <w:r w:rsidRPr="00A62897">
        <w:rPr>
          <w:i/>
          <w:iCs/>
        </w:rPr>
        <w:t>Chronic Stress (Thousand Oaks, Calif.)</w:t>
      </w:r>
      <w:r w:rsidRPr="00A62897">
        <w:t>, </w:t>
      </w:r>
      <w:r w:rsidRPr="00A62897">
        <w:rPr>
          <w:i/>
          <w:iCs/>
        </w:rPr>
        <w:t>1</w:t>
      </w:r>
      <w:r w:rsidRPr="00A62897">
        <w:t>, 10.1177/2470547017692328.</w:t>
      </w:r>
    </w:p>
    <w:p w14:paraId="26F2CDEC" w14:textId="77777777" w:rsidR="00814BD9" w:rsidRPr="00A62897" w:rsidRDefault="00AE2A65" w:rsidP="00A62897">
      <w:pPr>
        <w:pStyle w:val="ListParagraph"/>
        <w:numPr>
          <w:ilvl w:val="0"/>
          <w:numId w:val="14"/>
        </w:numPr>
      </w:pPr>
      <w:r w:rsidRPr="00A62897">
        <w:t xml:space="preserve">Lu, MC, </w:t>
      </w:r>
      <w:proofErr w:type="spellStart"/>
      <w:r w:rsidRPr="00A62897">
        <w:t>Halfon</w:t>
      </w:r>
      <w:proofErr w:type="spellEnd"/>
      <w:r w:rsidRPr="00A62897">
        <w:t xml:space="preserve"> N. Racial and ethnic disparities in birth outcomes: A life-course perspective. Maternal and Child Health Journal. 2003</w:t>
      </w:r>
      <w:proofErr w:type="gramStart"/>
      <w:r w:rsidRPr="00A62897">
        <w:t>;7</w:t>
      </w:r>
      <w:proofErr w:type="gramEnd"/>
      <w:r w:rsidRPr="00A62897">
        <w:t>(1):13–30.</w:t>
      </w:r>
    </w:p>
    <w:p w14:paraId="4BD2AFF9" w14:textId="77777777" w:rsidR="00814BD9" w:rsidRPr="00A62897" w:rsidRDefault="00AE2A65" w:rsidP="00A62897">
      <w:pPr>
        <w:pStyle w:val="ListParagraph"/>
        <w:numPr>
          <w:ilvl w:val="0"/>
          <w:numId w:val="14"/>
        </w:numPr>
      </w:pPr>
      <w:proofErr w:type="spellStart"/>
      <w:r w:rsidRPr="00A62897">
        <w:t>Djuric</w:t>
      </w:r>
      <w:proofErr w:type="spellEnd"/>
      <w:r w:rsidRPr="00A62897">
        <w:t xml:space="preserve">, Z., Bird, C., </w:t>
      </w:r>
      <w:proofErr w:type="spellStart"/>
      <w:r w:rsidRPr="00A62897">
        <w:t>Furumoto</w:t>
      </w:r>
      <w:proofErr w:type="spellEnd"/>
      <w:r w:rsidRPr="00A62897">
        <w:t xml:space="preserve">-Dawson, A., Rauscher, G., Ruffin, M., Stowe, R., Tucker, K., &amp; </w:t>
      </w:r>
      <w:proofErr w:type="spellStart"/>
      <w:r w:rsidRPr="00A62897">
        <w:t>Masi</w:t>
      </w:r>
      <w:proofErr w:type="spellEnd"/>
      <w:r w:rsidRPr="00A62897">
        <w:t xml:space="preserve">, C. (2008). Biomarkers of psychological stress in health disparities research. Open </w:t>
      </w:r>
      <w:proofErr w:type="spellStart"/>
      <w:r w:rsidRPr="00A62897">
        <w:t>Biomark</w:t>
      </w:r>
      <w:proofErr w:type="spellEnd"/>
      <w:r w:rsidRPr="00A62897">
        <w:t xml:space="preserve"> Journal, January 1: 7-19. Available at: </w:t>
      </w:r>
      <w:hyperlink r:id="rId9" w:history="1">
        <w:r w:rsidRPr="00A62897">
          <w:rPr>
            <w:rStyle w:val="Hyperlink"/>
          </w:rPr>
          <w:t>URL to Source</w:t>
        </w:r>
      </w:hyperlink>
    </w:p>
    <w:p w14:paraId="6CB5CA1B" w14:textId="66F3F634" w:rsidR="00814BD9" w:rsidRDefault="00AE2A65" w:rsidP="00A62897">
      <w:pPr>
        <w:pStyle w:val="ListParagraph"/>
        <w:numPr>
          <w:ilvl w:val="0"/>
          <w:numId w:val="14"/>
        </w:numPr>
      </w:pPr>
      <w:r w:rsidRPr="00A62897">
        <w:t>McEwen BS. Stressed or stressed out: what is the difference</w:t>
      </w:r>
      <w:proofErr w:type="gramStart"/>
      <w:r w:rsidRPr="00A62897">
        <w:t>?.</w:t>
      </w:r>
      <w:proofErr w:type="gramEnd"/>
      <w:r w:rsidRPr="00A62897">
        <w:t> </w:t>
      </w:r>
      <w:r w:rsidRPr="00A62897">
        <w:rPr>
          <w:i/>
          <w:iCs/>
        </w:rPr>
        <w:t xml:space="preserve">J Psychiatry </w:t>
      </w:r>
      <w:proofErr w:type="spellStart"/>
      <w:r w:rsidRPr="00A62897">
        <w:rPr>
          <w:i/>
          <w:iCs/>
        </w:rPr>
        <w:t>Neurosci</w:t>
      </w:r>
      <w:proofErr w:type="spellEnd"/>
      <w:r w:rsidRPr="00A62897">
        <w:t>. 2005</w:t>
      </w:r>
      <w:proofErr w:type="gramStart"/>
      <w:r w:rsidRPr="00A62897">
        <w:t>;30</w:t>
      </w:r>
      <w:proofErr w:type="gramEnd"/>
      <w:r w:rsidRPr="00A62897">
        <w:t>(5):315–318.</w:t>
      </w:r>
    </w:p>
    <w:p w14:paraId="17B1F222" w14:textId="77777777" w:rsidR="00000000" w:rsidRPr="00EC4698" w:rsidRDefault="0075405F" w:rsidP="00EC4698">
      <w:pPr>
        <w:pStyle w:val="ListParagraph"/>
        <w:numPr>
          <w:ilvl w:val="0"/>
          <w:numId w:val="14"/>
        </w:numPr>
      </w:pPr>
      <w:r w:rsidRPr="00EC4698">
        <w:t xml:space="preserve">Feinberg, C. (May-June 2015). The Science of Scarcity. </w:t>
      </w:r>
      <w:r w:rsidRPr="00EC4698">
        <w:rPr>
          <w:i/>
          <w:iCs/>
        </w:rPr>
        <w:t>Harvard Magazine</w:t>
      </w:r>
      <w:r w:rsidRPr="00EC4698">
        <w:t>. Retrieved fro</w:t>
      </w:r>
      <w:r w:rsidRPr="00EC4698">
        <w:t xml:space="preserve">m: </w:t>
      </w:r>
      <w:hyperlink r:id="rId10" w:history="1">
        <w:r w:rsidRPr="00EC4698">
          <w:rPr>
            <w:rStyle w:val="Hyperlink"/>
          </w:rPr>
          <w:t>URL to Source</w:t>
        </w:r>
      </w:hyperlink>
    </w:p>
    <w:p w14:paraId="20A2B5D4" w14:textId="77777777" w:rsidR="00000000" w:rsidRPr="00EC4698" w:rsidRDefault="0075405F" w:rsidP="00EC4698">
      <w:pPr>
        <w:pStyle w:val="ListParagraph"/>
        <w:numPr>
          <w:ilvl w:val="0"/>
          <w:numId w:val="14"/>
        </w:numPr>
      </w:pPr>
      <w:proofErr w:type="spellStart"/>
      <w:r w:rsidRPr="00EC4698">
        <w:t>Novotney</w:t>
      </w:r>
      <w:proofErr w:type="spellEnd"/>
      <w:r w:rsidRPr="00EC4698">
        <w:t xml:space="preserve">, A. (February 2014). The Psychology of Scarcity. </w:t>
      </w:r>
      <w:r w:rsidRPr="00EC4698">
        <w:rPr>
          <w:i/>
          <w:iCs/>
        </w:rPr>
        <w:t>Monitor on Psychology</w:t>
      </w:r>
      <w:r w:rsidRPr="00EC4698">
        <w:t xml:space="preserve">. Retrieved from: </w:t>
      </w:r>
      <w:hyperlink r:id="rId11" w:history="1">
        <w:r w:rsidRPr="00EC4698">
          <w:rPr>
            <w:rStyle w:val="Hyperlink"/>
          </w:rPr>
          <w:t>URL to Source</w:t>
        </w:r>
      </w:hyperlink>
    </w:p>
    <w:p w14:paraId="38391563" w14:textId="77777777" w:rsidR="00EC4698" w:rsidRPr="00A62897" w:rsidRDefault="00EC4698" w:rsidP="00EC4698">
      <w:pPr>
        <w:pStyle w:val="ListParagraph"/>
      </w:pPr>
    </w:p>
    <w:p w14:paraId="66767DB1" w14:textId="77777777" w:rsidR="009E33E0" w:rsidRPr="00853D70" w:rsidRDefault="009E33E0" w:rsidP="009E33E0">
      <w:pPr>
        <w:pStyle w:val="ListParagraph"/>
      </w:pPr>
    </w:p>
    <w:p w14:paraId="0ED8ABA4" w14:textId="77777777" w:rsidR="00CA0506" w:rsidRDefault="00CA0506" w:rsidP="001A4350">
      <w:pPr>
        <w:pStyle w:val="ListParagraph"/>
      </w:pPr>
    </w:p>
    <w:sectPr w:rsidR="00CA0506" w:rsidSect="006E5A5E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5B9EA" w14:textId="77777777" w:rsidR="0075405F" w:rsidRDefault="0075405F" w:rsidP="00CA0506">
      <w:pPr>
        <w:spacing w:after="0" w:line="240" w:lineRule="auto"/>
      </w:pPr>
      <w:r>
        <w:separator/>
      </w:r>
    </w:p>
  </w:endnote>
  <w:endnote w:type="continuationSeparator" w:id="0">
    <w:p w14:paraId="46704EE6" w14:textId="77777777" w:rsidR="0075405F" w:rsidRDefault="0075405F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E275E" w14:textId="77777777" w:rsidR="0075405F" w:rsidRDefault="0075405F" w:rsidP="00CA0506">
      <w:pPr>
        <w:spacing w:after="0" w:line="240" w:lineRule="auto"/>
      </w:pPr>
      <w:r>
        <w:separator/>
      </w:r>
    </w:p>
  </w:footnote>
  <w:footnote w:type="continuationSeparator" w:id="0">
    <w:p w14:paraId="42117830" w14:textId="77777777" w:rsidR="0075405F" w:rsidRDefault="0075405F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E51" w14:textId="2C4996B2" w:rsidR="006E5A5E" w:rsidRPr="006E5A5E" w:rsidRDefault="00A62897" w:rsidP="006E5A5E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 xml:space="preserve">Social Determinants of Health Module 4 </w:t>
    </w:r>
    <w:r w:rsidR="006E5A5E" w:rsidRPr="006E5A5E">
      <w:rPr>
        <w:rStyle w:val="SubtleEmphasis"/>
        <w:b/>
        <w:i w:val="0"/>
        <w:color w:val="2E74B5" w:themeColor="accent5" w:themeShade="BF"/>
        <w:sz w:val="60"/>
        <w:szCs w:val="60"/>
      </w:rPr>
      <w:t>Key Concepts Handout</w:t>
    </w:r>
    <w:r w:rsidR="009A5721">
      <w:rPr>
        <w:rStyle w:val="SubtleEmphasis"/>
        <w:b/>
        <w:i w:val="0"/>
        <w:color w:val="2E74B5" w:themeColor="accent5" w:themeShade="BF"/>
        <w:sz w:val="60"/>
        <w:szCs w:val="60"/>
      </w:rPr>
      <w:t>, Answer Key</w:t>
    </w:r>
  </w:p>
  <w:p w14:paraId="70C30F47" w14:textId="77777777" w:rsidR="006E5A5E" w:rsidRDefault="006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22E0B"/>
    <w:multiLevelType w:val="hybridMultilevel"/>
    <w:tmpl w:val="3F68C722"/>
    <w:lvl w:ilvl="0" w:tplc="F24A8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E2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E3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8F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E9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EF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88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A1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28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A0BF7"/>
    <w:multiLevelType w:val="hybridMultilevel"/>
    <w:tmpl w:val="6040CD26"/>
    <w:lvl w:ilvl="0" w:tplc="D3D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46448"/>
    <w:multiLevelType w:val="hybridMultilevel"/>
    <w:tmpl w:val="F472602A"/>
    <w:lvl w:ilvl="0" w:tplc="A38A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0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84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C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7FEC"/>
    <w:multiLevelType w:val="hybridMultilevel"/>
    <w:tmpl w:val="D0909926"/>
    <w:lvl w:ilvl="0" w:tplc="F2B4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4C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1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2D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0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8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AD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AD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2CA2"/>
    <w:multiLevelType w:val="hybridMultilevel"/>
    <w:tmpl w:val="12269490"/>
    <w:lvl w:ilvl="0" w:tplc="E552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F43ED1"/>
    <w:multiLevelType w:val="hybridMultilevel"/>
    <w:tmpl w:val="296A4228"/>
    <w:lvl w:ilvl="0" w:tplc="6FF0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82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43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E3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E9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23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66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C0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A3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137A44"/>
    <w:rsid w:val="00184881"/>
    <w:rsid w:val="001A4350"/>
    <w:rsid w:val="001C041E"/>
    <w:rsid w:val="001F081A"/>
    <w:rsid w:val="00343B50"/>
    <w:rsid w:val="0038462B"/>
    <w:rsid w:val="003A74BA"/>
    <w:rsid w:val="004356AC"/>
    <w:rsid w:val="004760C8"/>
    <w:rsid w:val="00497577"/>
    <w:rsid w:val="006E5A5E"/>
    <w:rsid w:val="0075405F"/>
    <w:rsid w:val="007A781E"/>
    <w:rsid w:val="007F3C7A"/>
    <w:rsid w:val="007F4765"/>
    <w:rsid w:val="008049A3"/>
    <w:rsid w:val="00814BD9"/>
    <w:rsid w:val="00843A78"/>
    <w:rsid w:val="00853D70"/>
    <w:rsid w:val="008C05E7"/>
    <w:rsid w:val="008E0FFC"/>
    <w:rsid w:val="009A5721"/>
    <w:rsid w:val="009E33E0"/>
    <w:rsid w:val="00A01B13"/>
    <w:rsid w:val="00A23490"/>
    <w:rsid w:val="00A2502A"/>
    <w:rsid w:val="00A62897"/>
    <w:rsid w:val="00A90914"/>
    <w:rsid w:val="00AA7845"/>
    <w:rsid w:val="00AC0812"/>
    <w:rsid w:val="00AD00EF"/>
    <w:rsid w:val="00AD14FA"/>
    <w:rsid w:val="00AD1DE1"/>
    <w:rsid w:val="00AE2A65"/>
    <w:rsid w:val="00AF55DA"/>
    <w:rsid w:val="00B13651"/>
    <w:rsid w:val="00B950B9"/>
    <w:rsid w:val="00BD597D"/>
    <w:rsid w:val="00C103B1"/>
    <w:rsid w:val="00CA0506"/>
    <w:rsid w:val="00CB61EE"/>
    <w:rsid w:val="00D542C9"/>
    <w:rsid w:val="00DF0FE7"/>
    <w:rsid w:val="00E2683C"/>
    <w:rsid w:val="00E36595"/>
    <w:rsid w:val="00E40A99"/>
    <w:rsid w:val="00E53F9C"/>
    <w:rsid w:val="00E71116"/>
    <w:rsid w:val="00E84856"/>
    <w:rsid w:val="00EC4698"/>
    <w:rsid w:val="00EE5441"/>
    <w:rsid w:val="00F21B9D"/>
    <w:rsid w:val="00FD057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E5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15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2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7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9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2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a.org/monitor/2014/02/scarci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arvardmagazine.com/2015/05/the-science-of-scarc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28414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Seger, Erin</cp:lastModifiedBy>
  <cp:revision>5</cp:revision>
  <dcterms:created xsi:type="dcterms:W3CDTF">2019-11-20T22:09:00Z</dcterms:created>
  <dcterms:modified xsi:type="dcterms:W3CDTF">2019-11-21T14:02:00Z</dcterms:modified>
</cp:coreProperties>
</file>