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755A1" w14:textId="756E4934" w:rsidR="00EE5441" w:rsidRDefault="00EE5441" w:rsidP="00992816">
      <w:pPr>
        <w:spacing w:line="288" w:lineRule="auto"/>
        <w:rPr>
          <w:b/>
          <w:sz w:val="28"/>
          <w:szCs w:val="28"/>
        </w:rPr>
      </w:pPr>
    </w:p>
    <w:p w14:paraId="6B9C8D4E" w14:textId="3C627814" w:rsidR="001C041E" w:rsidRPr="001C041E" w:rsidRDefault="00595081" w:rsidP="006E5A5E">
      <w:pPr>
        <w:spacing w:line="288" w:lineRule="auto"/>
        <w:ind w:firstLine="360"/>
        <w:rPr>
          <w:b/>
          <w:sz w:val="28"/>
          <w:szCs w:val="28"/>
        </w:rPr>
      </w:pPr>
      <w:r>
        <w:rPr>
          <w:b/>
          <w:sz w:val="28"/>
          <w:szCs w:val="28"/>
        </w:rPr>
        <w:t xml:space="preserve">Health Disparities </w:t>
      </w:r>
    </w:p>
    <w:p w14:paraId="63253DDB" w14:textId="51541F2E" w:rsidR="00595081" w:rsidRDefault="00595081" w:rsidP="007A781E">
      <w:pPr>
        <w:spacing w:line="288" w:lineRule="auto"/>
        <w:ind w:left="360"/>
        <w:rPr>
          <w:sz w:val="28"/>
          <w:szCs w:val="28"/>
        </w:rPr>
      </w:pPr>
      <w:r w:rsidRPr="00595081">
        <w:rPr>
          <w:sz w:val="28"/>
          <w:szCs w:val="28"/>
        </w:rPr>
        <w:t>“…differences that exist among specific population groups in the United States in the attainment of full health potential that can be measured by differences in incidence, prevalence, mortality, burden of disease, and other adverse health conditions”</w:t>
      </w:r>
      <w:r w:rsidRPr="00595081">
        <w:rPr>
          <w:sz w:val="28"/>
          <w:szCs w:val="28"/>
          <w:vertAlign w:val="superscript"/>
        </w:rPr>
        <w:t>2</w:t>
      </w:r>
    </w:p>
    <w:p w14:paraId="016C3017" w14:textId="0F28DD2A" w:rsidR="007A781E" w:rsidRDefault="00592C18" w:rsidP="007A781E">
      <w:pPr>
        <w:spacing w:line="288" w:lineRule="auto"/>
        <w:ind w:left="360"/>
        <w:rPr>
          <w:b/>
          <w:sz w:val="28"/>
          <w:szCs w:val="28"/>
        </w:rPr>
      </w:pPr>
      <w:r>
        <w:rPr>
          <w:noProof/>
        </w:rPr>
        <w:drawing>
          <wp:anchor distT="0" distB="0" distL="114300" distR="114300" simplePos="0" relativeHeight="251663360" behindDoc="1" locked="0" layoutInCell="1" allowOverlap="1" wp14:anchorId="6AD36F55" wp14:editId="61B35747">
            <wp:simplePos x="0" y="0"/>
            <wp:positionH relativeFrom="page">
              <wp:align>right</wp:align>
            </wp:positionH>
            <wp:positionV relativeFrom="paragraph">
              <wp:posOffset>96577</wp:posOffset>
            </wp:positionV>
            <wp:extent cx="4373880" cy="4254500"/>
            <wp:effectExtent l="0" t="0" r="7620" b="0"/>
            <wp:wrapTight wrapText="bothSides">
              <wp:wrapPolygon edited="0">
                <wp:start x="10631" y="0"/>
                <wp:lineTo x="9031" y="1547"/>
                <wp:lineTo x="3763" y="1838"/>
                <wp:lineTo x="2070" y="2224"/>
                <wp:lineTo x="2070" y="7737"/>
                <wp:lineTo x="1505" y="9285"/>
                <wp:lineTo x="94" y="10832"/>
                <wp:lineTo x="1599" y="12380"/>
                <wp:lineTo x="2070" y="13927"/>
                <wp:lineTo x="2164" y="19343"/>
                <wp:lineTo x="5833" y="20117"/>
                <wp:lineTo x="9220" y="20117"/>
                <wp:lineTo x="10443" y="21471"/>
                <wp:lineTo x="10537" y="21471"/>
                <wp:lineTo x="11101" y="21471"/>
                <wp:lineTo x="11195" y="21471"/>
                <wp:lineTo x="12418" y="20117"/>
                <wp:lineTo x="15711" y="20117"/>
                <wp:lineTo x="19568" y="19247"/>
                <wp:lineTo x="19568" y="13927"/>
                <wp:lineTo x="20038" y="12380"/>
                <wp:lineTo x="21544" y="10736"/>
                <wp:lineTo x="20132" y="9285"/>
                <wp:lineTo x="19568" y="7737"/>
                <wp:lineTo x="19568" y="2224"/>
                <wp:lineTo x="17875" y="1838"/>
                <wp:lineTo x="12606" y="1547"/>
                <wp:lineTo x="11101" y="0"/>
                <wp:lineTo x="10631" y="0"/>
              </wp:wrapPolygon>
            </wp:wrapTight>
            <wp:docPr id="5" name="Picture 5" descr="Examples of health disparities: &#10;1. People with lower socioeconomic status (SES) have disproportionately higher cancer death rates than those with higher SES, regardless of demographic factors such as race/ethnicity.3&#10;2. In Rural America, incidences of heart disease is 56 percent higher than in metropolitan areas. Chronic lower respiratory disease, 75 percent higher.4 &#10;3. Discrimination against LGBT+ persons has been associated with high rates of psychiatric disorders, substance abuse, and suicide.5&#10;4. In 2017 in the United States, infants of non-Hispanic black women had the highest mortality rate, followed by infants of non-Hispanic AIAN, non-Hispanic NHOPI, Hispanic, non-Hispanic white, and non-Hispanic Asian wom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68" r="11158"/>
                    <a:stretch/>
                  </pic:blipFill>
                  <pic:spPr bwMode="auto">
                    <a:xfrm>
                      <a:off x="0" y="0"/>
                      <a:ext cx="4373880" cy="425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7CEC">
        <w:rPr>
          <w:b/>
          <w:sz w:val="28"/>
          <w:szCs w:val="28"/>
        </w:rPr>
        <w:t xml:space="preserve">Examples of </w:t>
      </w:r>
      <w:r w:rsidR="007F3C7A">
        <w:rPr>
          <w:b/>
          <w:sz w:val="28"/>
          <w:szCs w:val="28"/>
        </w:rPr>
        <w:t>Health Disparities</w:t>
      </w:r>
    </w:p>
    <w:p w14:paraId="407A4D3B" w14:textId="07A0673B" w:rsidR="007F3C7A" w:rsidRDefault="00592C18" w:rsidP="00595081">
      <w:r>
        <w:rPr>
          <w:noProof/>
        </w:rPr>
        <w:drawing>
          <wp:anchor distT="0" distB="0" distL="114300" distR="114300" simplePos="0" relativeHeight="251664384" behindDoc="1" locked="0" layoutInCell="1" allowOverlap="1" wp14:anchorId="2903FE8D" wp14:editId="0E45CB9E">
            <wp:simplePos x="0" y="0"/>
            <wp:positionH relativeFrom="column">
              <wp:posOffset>-307340</wp:posOffset>
            </wp:positionH>
            <wp:positionV relativeFrom="paragraph">
              <wp:posOffset>130175</wp:posOffset>
            </wp:positionV>
            <wp:extent cx="3212465" cy="2333625"/>
            <wp:effectExtent l="0" t="0" r="6985" b="9525"/>
            <wp:wrapTight wrapText="bothSides">
              <wp:wrapPolygon edited="0">
                <wp:start x="0" y="0"/>
                <wp:lineTo x="0" y="21512"/>
                <wp:lineTo x="21519" y="21512"/>
                <wp:lineTo x="21519" y="0"/>
                <wp:lineTo x="0" y="0"/>
              </wp:wrapPolygon>
            </wp:wrapTight>
            <wp:docPr id="7" name="Picture 7" descr="Chart showing that the health disparity of higher rates of death from cancer are experienced by those living in poverty and asking to a participant to fill in the SDOH associ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2465" cy="2333625"/>
                    </a:xfrm>
                    <a:prstGeom prst="rect">
                      <a:avLst/>
                    </a:prstGeom>
                    <a:noFill/>
                  </pic:spPr>
                </pic:pic>
              </a:graphicData>
            </a:graphic>
            <wp14:sizeRelH relativeFrom="margin">
              <wp14:pctWidth>0</wp14:pctWidth>
            </wp14:sizeRelH>
            <wp14:sizeRelV relativeFrom="margin">
              <wp14:pctHeight>0</wp14:pctHeight>
            </wp14:sizeRelV>
          </wp:anchor>
        </w:drawing>
      </w:r>
    </w:p>
    <w:p w14:paraId="4DA67361" w14:textId="6152BF06" w:rsidR="00E71116" w:rsidRDefault="00E71116" w:rsidP="001F081A">
      <w:pPr>
        <w:pStyle w:val="ListParagraph"/>
        <w:jc w:val="center"/>
      </w:pPr>
    </w:p>
    <w:p w14:paraId="7EF56DBA" w14:textId="77996B16" w:rsidR="00EE5441" w:rsidRDefault="00EE5441" w:rsidP="009E33E0"/>
    <w:p w14:paraId="3F264035" w14:textId="378D145E" w:rsidR="00EE5441" w:rsidRDefault="00B231C9" w:rsidP="009E33E0">
      <w:r>
        <w:rPr>
          <w:noProof/>
        </w:rPr>
        <mc:AlternateContent>
          <mc:Choice Requires="wps">
            <w:drawing>
              <wp:anchor distT="0" distB="0" distL="114300" distR="114300" simplePos="0" relativeHeight="251666432" behindDoc="0" locked="0" layoutInCell="1" allowOverlap="1" wp14:anchorId="3A5325D4" wp14:editId="0B60A335">
                <wp:simplePos x="0" y="0"/>
                <wp:positionH relativeFrom="column">
                  <wp:posOffset>2954740</wp:posOffset>
                </wp:positionH>
                <wp:positionV relativeFrom="paragraph">
                  <wp:posOffset>119721</wp:posOffset>
                </wp:positionV>
                <wp:extent cx="382138" cy="109182"/>
                <wp:effectExtent l="38100" t="57150" r="18415" b="100965"/>
                <wp:wrapNone/>
                <wp:docPr id="9" name="Straight Arrow Connector 9" descr="arrow pointing from the main image to the cancer death rate activity. "/>
                <wp:cNvGraphicFramePr/>
                <a:graphic xmlns:a="http://schemas.openxmlformats.org/drawingml/2006/main">
                  <a:graphicData uri="http://schemas.microsoft.com/office/word/2010/wordprocessingShape">
                    <wps:wsp>
                      <wps:cNvCnPr/>
                      <wps:spPr>
                        <a:xfrm flipH="1">
                          <a:off x="0" y="0"/>
                          <a:ext cx="382138" cy="10918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F887E4" id="_x0000_t32" coordsize="21600,21600" o:spt="32" o:oned="t" path="m,l21600,21600e" filled="f">
                <v:path arrowok="t" fillok="f" o:connecttype="none"/>
                <o:lock v:ext="edit" shapetype="t"/>
              </v:shapetype>
              <v:shape id="Straight Arrow Connector 9" o:spid="_x0000_s1026" type="#_x0000_t32" alt="arrow pointing from the main image to the cancer death rate activity. " style="position:absolute;margin-left:232.65pt;margin-top:9.45pt;width:30.1pt;height:8.6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" strokecolor="#4472c4 [3204]" strokeweight="4.5pt">
                <v:stroke endarrow="block" joinstyle="miter"/>
              </v:shape>
            </w:pict>
          </mc:Fallback>
        </mc:AlternateContent>
      </w:r>
    </w:p>
    <w:p w14:paraId="1BF9B305" w14:textId="214F64B1" w:rsidR="00EE5441" w:rsidRDefault="00EE5441" w:rsidP="009E33E0"/>
    <w:p w14:paraId="4D946626" w14:textId="431CF5C1" w:rsidR="00EE5441" w:rsidRDefault="00EE5441" w:rsidP="009E33E0"/>
    <w:p w14:paraId="42E9110A" w14:textId="31A43E3B" w:rsidR="00EE5441" w:rsidRDefault="00EE5441" w:rsidP="009E33E0"/>
    <w:p w14:paraId="57F75A12" w14:textId="7E55C1C3" w:rsidR="00EE5441" w:rsidRDefault="00EE5441" w:rsidP="009E33E0"/>
    <w:p w14:paraId="14DD44A6" w14:textId="54FAD3C8" w:rsidR="00EE5441" w:rsidRDefault="00B231C9" w:rsidP="009E33E0">
      <w:r>
        <w:rPr>
          <w:noProof/>
        </w:rPr>
        <mc:AlternateContent>
          <mc:Choice Requires="wps">
            <w:drawing>
              <wp:anchor distT="0" distB="0" distL="114300" distR="114300" simplePos="0" relativeHeight="251667456" behindDoc="0" locked="0" layoutInCell="1" allowOverlap="1" wp14:anchorId="359B71A1" wp14:editId="1561DDC1">
                <wp:simplePos x="0" y="0"/>
                <wp:positionH relativeFrom="column">
                  <wp:posOffset>3923731</wp:posOffset>
                </wp:positionH>
                <wp:positionV relativeFrom="paragraph">
                  <wp:posOffset>29883</wp:posOffset>
                </wp:positionV>
                <wp:extent cx="313899" cy="409433"/>
                <wp:effectExtent l="38100" t="19050" r="29210" b="48260"/>
                <wp:wrapNone/>
                <wp:docPr id="10" name="Straight Arrow Connector 10" descr="arrow pointing from the main image to the cancer death rate activity. "/>
                <wp:cNvGraphicFramePr/>
                <a:graphic xmlns:a="http://schemas.openxmlformats.org/drawingml/2006/main">
                  <a:graphicData uri="http://schemas.microsoft.com/office/word/2010/wordprocessingShape">
                    <wps:wsp>
                      <wps:cNvCnPr/>
                      <wps:spPr>
                        <a:xfrm flipH="1">
                          <a:off x="0" y="0"/>
                          <a:ext cx="313899" cy="409433"/>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C5ABCE" id="Straight Arrow Connector 10" o:spid="_x0000_s1026" type="#_x0000_t32" alt="arrow pointing from the main image to the cancer death rate activity. " style="position:absolute;margin-left:308.95pt;margin-top:2.35pt;width:24.7pt;height:32.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" strokecolor="#4472c4 [3204]" strokeweight="4.5pt">
                <v:stroke endarrow="block" joinstyle="miter"/>
              </v:shape>
            </w:pict>
          </mc:Fallback>
        </mc:AlternateContent>
      </w:r>
      <w:r w:rsidR="00592C18">
        <w:rPr>
          <w:noProof/>
        </w:rPr>
        <w:drawing>
          <wp:anchor distT="0" distB="0" distL="114300" distR="114300" simplePos="0" relativeHeight="251665408" behindDoc="1" locked="0" layoutInCell="1" allowOverlap="1" wp14:anchorId="6831D49B" wp14:editId="267B53A0">
            <wp:simplePos x="0" y="0"/>
            <wp:positionH relativeFrom="margin">
              <wp:align>left</wp:align>
            </wp:positionH>
            <wp:positionV relativeFrom="paragraph">
              <wp:posOffset>274434</wp:posOffset>
            </wp:positionV>
            <wp:extent cx="3875405" cy="2132965"/>
            <wp:effectExtent l="0" t="0" r="0" b="635"/>
            <wp:wrapTight wrapText="bothSides">
              <wp:wrapPolygon edited="0">
                <wp:start x="0" y="0"/>
                <wp:lineTo x="0" y="21414"/>
                <wp:lineTo x="21448" y="21414"/>
                <wp:lineTo x="21448" y="0"/>
                <wp:lineTo x="0" y="0"/>
              </wp:wrapPolygon>
            </wp:wrapTight>
            <wp:docPr id="8" name="Picture 8" descr="Chart showing that the health disparity of higher rates of psychiatric disorder, substance use, and suicide are experienced by the LGBTQ+ community and asking to a participant to fill in the SDOH associ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5405" cy="2132965"/>
                    </a:xfrm>
                    <a:prstGeom prst="rect">
                      <a:avLst/>
                    </a:prstGeom>
                    <a:noFill/>
                  </pic:spPr>
                </pic:pic>
              </a:graphicData>
            </a:graphic>
            <wp14:sizeRelH relativeFrom="margin">
              <wp14:pctWidth>0</wp14:pctWidth>
            </wp14:sizeRelH>
            <wp14:sizeRelV relativeFrom="margin">
              <wp14:pctHeight>0</wp14:pctHeight>
            </wp14:sizeRelV>
          </wp:anchor>
        </w:drawing>
      </w:r>
    </w:p>
    <w:p w14:paraId="031BE625" w14:textId="1D73347E" w:rsidR="00EE5441" w:rsidRDefault="00EE5441" w:rsidP="009E33E0"/>
    <w:p w14:paraId="5EB1A415" w14:textId="02879372" w:rsidR="00EE5441" w:rsidRDefault="00EE5441" w:rsidP="00EE5441"/>
    <w:p w14:paraId="2E80CFCC" w14:textId="674C15F3" w:rsidR="00EE5441" w:rsidRDefault="00EE5441" w:rsidP="00EE5441"/>
    <w:p w14:paraId="770E361F" w14:textId="17D7CBC8" w:rsidR="00EE5441" w:rsidRDefault="00EE5441" w:rsidP="00EE5441"/>
    <w:p w14:paraId="4F964ECA" w14:textId="6D4FBD48" w:rsidR="00EE5441" w:rsidRDefault="00EE5441" w:rsidP="00EE5441"/>
    <w:p w14:paraId="07BC1454" w14:textId="17D094C9" w:rsidR="00EE5441" w:rsidRDefault="00EE5441" w:rsidP="00EE5441"/>
    <w:p w14:paraId="5C0C081B" w14:textId="59D0CE41" w:rsidR="005747D2" w:rsidRDefault="005747D2" w:rsidP="005747D2">
      <w:pPr>
        <w:pStyle w:val="ListParagraph"/>
      </w:pPr>
      <w:r w:rsidRPr="005747D2">
        <w:rPr>
          <w:noProof/>
        </w:rPr>
        <w:lastRenderedPageBreak/>
        <w:drawing>
          <wp:inline distT="0" distB="0" distL="0" distR="0" wp14:anchorId="3A858A13" wp14:editId="395513A1">
            <wp:extent cx="6096851" cy="3429479"/>
            <wp:effectExtent l="19050" t="19050" r="18415" b="19050"/>
            <wp:docPr id="1" name="Picture 1" descr="Consider: &#10;How can an increased awareness of the connection among SDOH-Health Disparities-Health Outcomes influence your interactions with patients? &#10;Remember:&#10;Health is intimately tied to where we live, learn, work, and pl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851" cy="3429479"/>
                    </a:xfrm>
                    <a:prstGeom prst="rect">
                      <a:avLst/>
                    </a:prstGeom>
                    <a:ln>
                      <a:solidFill>
                        <a:schemeClr val="tx1"/>
                      </a:solidFill>
                    </a:ln>
                  </pic:spPr>
                </pic:pic>
              </a:graphicData>
            </a:graphic>
          </wp:inline>
        </w:drawing>
      </w:r>
    </w:p>
    <w:p w14:paraId="123C63FF" w14:textId="77777777" w:rsidR="005747D2" w:rsidRDefault="005747D2" w:rsidP="005747D2">
      <w:pPr>
        <w:pStyle w:val="ListParagraph"/>
      </w:pPr>
    </w:p>
    <w:p w14:paraId="4203B394" w14:textId="283038D2" w:rsidR="005747D2" w:rsidRDefault="005747D2" w:rsidP="005747D2">
      <w:r>
        <w:t>References</w:t>
      </w:r>
    </w:p>
    <w:p w14:paraId="1BC62264" w14:textId="68B34FA7" w:rsidR="0073169C" w:rsidRPr="005747D2" w:rsidRDefault="00EF7AC8" w:rsidP="005747D2">
      <w:pPr>
        <w:pStyle w:val="ListParagraph"/>
        <w:numPr>
          <w:ilvl w:val="0"/>
          <w:numId w:val="13"/>
        </w:numPr>
      </w:pPr>
      <w:r w:rsidRPr="005747D2">
        <w:t>The Root Causes of Health Inequity." National Academies of Sciences, Engineering, and Medicine. 2017. </w:t>
      </w:r>
      <w:r w:rsidRPr="005747D2">
        <w:rPr>
          <w:i/>
          <w:iCs/>
        </w:rPr>
        <w:t>Communities in Action: Pathways to Health Equity</w:t>
      </w:r>
      <w:r w:rsidRPr="005747D2">
        <w:t xml:space="preserve">. Washington, DC: The National Academies Press. </w:t>
      </w:r>
      <w:proofErr w:type="spellStart"/>
      <w:proofErr w:type="gramStart"/>
      <w:r w:rsidRPr="005747D2">
        <w:t>doi</w:t>
      </w:r>
      <w:proofErr w:type="spellEnd"/>
      <w:proofErr w:type="gramEnd"/>
      <w:r w:rsidRPr="005747D2">
        <w:t>: 10.17226/24624.U.S. Department of Health and Human Services, </w:t>
      </w:r>
      <w:r w:rsidRPr="005747D2">
        <w:rPr>
          <w:i/>
          <w:iCs/>
        </w:rPr>
        <w:t>Healthy People 2020 Draft</w:t>
      </w:r>
      <w:r w:rsidRPr="005747D2">
        <w:t xml:space="preserve">. </w:t>
      </w:r>
      <w:proofErr w:type="gramStart"/>
      <w:r w:rsidRPr="005747D2">
        <w:t>2009</w:t>
      </w:r>
      <w:proofErr w:type="gramEnd"/>
      <w:r w:rsidRPr="005747D2">
        <w:t>, U.S. Government Printing Office.</w:t>
      </w:r>
    </w:p>
    <w:p w14:paraId="1B2221C9" w14:textId="77777777" w:rsidR="0073169C" w:rsidRPr="005747D2" w:rsidRDefault="00EF7AC8" w:rsidP="005747D2">
      <w:pPr>
        <w:pStyle w:val="ListParagraph"/>
        <w:numPr>
          <w:ilvl w:val="0"/>
          <w:numId w:val="13"/>
        </w:numPr>
      </w:pPr>
      <w:r w:rsidRPr="005747D2">
        <w:t xml:space="preserve">National Academies of Sciences, Engineering, and Medicine; Health and Medicine Division; Board on Population Health and Public Health Practice; Committee on Community-Based Solutions to Promote Health Equity in the United States (2017). </w:t>
      </w:r>
      <w:proofErr w:type="spellStart"/>
      <w:r w:rsidRPr="005747D2">
        <w:t>Baciu</w:t>
      </w:r>
      <w:proofErr w:type="spellEnd"/>
      <w:r w:rsidRPr="005747D2">
        <w:t xml:space="preserve"> A., </w:t>
      </w:r>
      <w:proofErr w:type="spellStart"/>
      <w:r w:rsidRPr="005747D2">
        <w:t>Negussie</w:t>
      </w:r>
      <w:proofErr w:type="spellEnd"/>
      <w:r w:rsidRPr="005747D2">
        <w:t xml:space="preserve"> Y., Geller A., et al. (</w:t>
      </w:r>
      <w:proofErr w:type="spellStart"/>
      <w:r w:rsidRPr="005747D2">
        <w:t>eds</w:t>
      </w:r>
      <w:proofErr w:type="spellEnd"/>
      <w:r w:rsidRPr="005747D2">
        <w:t>). Washington DC: National Academies Press.</w:t>
      </w:r>
    </w:p>
    <w:p w14:paraId="0776CC21" w14:textId="77777777" w:rsidR="0073169C" w:rsidRPr="005747D2" w:rsidRDefault="00EF7AC8" w:rsidP="005747D2">
      <w:pPr>
        <w:pStyle w:val="ListParagraph"/>
        <w:numPr>
          <w:ilvl w:val="0"/>
          <w:numId w:val="13"/>
        </w:numPr>
      </w:pPr>
      <w:r w:rsidRPr="005747D2">
        <w:t xml:space="preserve">National Cancer Institute. 2019. </w:t>
      </w:r>
      <w:r w:rsidRPr="005747D2">
        <w:rPr>
          <w:i/>
          <w:iCs/>
        </w:rPr>
        <w:t>Examples of Cancer Health Disparities</w:t>
      </w:r>
      <w:r w:rsidRPr="005747D2">
        <w:t xml:space="preserve">. Available at: </w:t>
      </w:r>
      <w:hyperlink r:id="rId11" w:history="1">
        <w:r w:rsidRPr="005747D2">
          <w:rPr>
            <w:rStyle w:val="Hyperlink"/>
          </w:rPr>
          <w:t>URL to Source</w:t>
        </w:r>
      </w:hyperlink>
    </w:p>
    <w:p w14:paraId="7381B2A0" w14:textId="77777777" w:rsidR="0073169C" w:rsidRPr="005747D2" w:rsidRDefault="00EF7AC8" w:rsidP="005747D2">
      <w:pPr>
        <w:pStyle w:val="ListParagraph"/>
        <w:numPr>
          <w:ilvl w:val="0"/>
          <w:numId w:val="13"/>
        </w:numPr>
      </w:pPr>
      <w:r w:rsidRPr="005747D2">
        <w:t xml:space="preserve">Singh, GK et al. Widening Rural–Urban Disparities in Life Expectancy, U.S., 1969–2009. American Journal of Preventive Medicine, 2014;(46)2:19-29. </w:t>
      </w:r>
      <w:proofErr w:type="spellStart"/>
      <w:r w:rsidRPr="005747D2">
        <w:t>doi</w:t>
      </w:r>
      <w:proofErr w:type="spellEnd"/>
      <w:r w:rsidRPr="005747D2">
        <w:t>: </w:t>
      </w:r>
      <w:hyperlink r:id="rId12" w:history="1">
        <w:r w:rsidRPr="005747D2">
          <w:rPr>
            <w:rStyle w:val="Hyperlink"/>
          </w:rPr>
          <w:t>URL to Source</w:t>
        </w:r>
      </w:hyperlink>
    </w:p>
    <w:p w14:paraId="51AE9D82" w14:textId="77777777" w:rsidR="0073169C" w:rsidRPr="005747D2" w:rsidRDefault="00EF7AC8" w:rsidP="005747D2">
      <w:pPr>
        <w:pStyle w:val="ListParagraph"/>
        <w:numPr>
          <w:ilvl w:val="0"/>
          <w:numId w:val="13"/>
        </w:numPr>
      </w:pPr>
      <w:r w:rsidRPr="005747D2">
        <w:t>Healthypeople.gov. 2019. </w:t>
      </w:r>
      <w:r w:rsidRPr="005747D2">
        <w:rPr>
          <w:i/>
          <w:iCs/>
        </w:rPr>
        <w:t>Lesbian, Gay, Bisexual, and Transgender Health | Healthy People 2020</w:t>
      </w:r>
      <w:r w:rsidRPr="005747D2">
        <w:t xml:space="preserve">. [online] Available at: </w:t>
      </w:r>
      <w:hyperlink r:id="rId13" w:history="1">
        <w:r w:rsidRPr="005747D2">
          <w:rPr>
            <w:rStyle w:val="Hyperlink"/>
          </w:rPr>
          <w:t>URL to Source</w:t>
        </w:r>
      </w:hyperlink>
    </w:p>
    <w:p w14:paraId="32DD67F5" w14:textId="77777777" w:rsidR="0073169C" w:rsidRPr="005747D2" w:rsidRDefault="00EF7AC8" w:rsidP="005747D2">
      <w:pPr>
        <w:pStyle w:val="ListParagraph"/>
        <w:numPr>
          <w:ilvl w:val="0"/>
          <w:numId w:val="13"/>
        </w:numPr>
      </w:pPr>
      <w:r w:rsidRPr="005747D2">
        <w:t>Centers for Disease Control and Prevention. 2019. </w:t>
      </w:r>
      <w:r w:rsidRPr="005747D2">
        <w:rPr>
          <w:i/>
          <w:iCs/>
        </w:rPr>
        <w:t>Infant Mortality | Maternal and Infant Health | Reproductive Health | CDC</w:t>
      </w:r>
      <w:r w:rsidRPr="005747D2">
        <w:t xml:space="preserve">. [online] Available at: </w:t>
      </w:r>
      <w:hyperlink r:id="rId14" w:history="1">
        <w:r w:rsidRPr="005747D2">
          <w:rPr>
            <w:rStyle w:val="Hyperlink"/>
          </w:rPr>
          <w:t>URL to Source</w:t>
        </w:r>
      </w:hyperlink>
    </w:p>
    <w:p w14:paraId="72E9F2C6" w14:textId="77777777" w:rsidR="0073169C" w:rsidRPr="005747D2" w:rsidRDefault="00EF7AC8" w:rsidP="005747D2">
      <w:pPr>
        <w:pStyle w:val="ListParagraph"/>
        <w:numPr>
          <w:ilvl w:val="0"/>
          <w:numId w:val="13"/>
        </w:numPr>
      </w:pPr>
      <w:r w:rsidRPr="005747D2">
        <w:t xml:space="preserve">Boston Public Health Commission. 2019. </w:t>
      </w:r>
      <w:r w:rsidRPr="005747D2">
        <w:rPr>
          <w:i/>
          <w:iCs/>
        </w:rPr>
        <w:t>Health Disparities vs. Health Inequities</w:t>
      </w:r>
      <w:r w:rsidRPr="005747D2">
        <w:t xml:space="preserve">. Available at: </w:t>
      </w:r>
      <w:hyperlink r:id="rId15" w:history="1">
        <w:r w:rsidRPr="005747D2">
          <w:rPr>
            <w:rStyle w:val="Hyperlink"/>
          </w:rPr>
          <w:t>URL to Source</w:t>
        </w:r>
      </w:hyperlink>
    </w:p>
    <w:p w14:paraId="14138ECB" w14:textId="77777777" w:rsidR="0073169C" w:rsidRPr="005747D2" w:rsidRDefault="00EF7AC8" w:rsidP="005747D2">
      <w:pPr>
        <w:pStyle w:val="ListParagraph"/>
        <w:numPr>
          <w:ilvl w:val="0"/>
          <w:numId w:val="13"/>
        </w:numPr>
      </w:pPr>
      <w:r w:rsidRPr="005747D2">
        <w:t xml:space="preserve">Child Trends Databank. 2015. </w:t>
      </w:r>
      <w:r w:rsidRPr="005747D2">
        <w:rPr>
          <w:i/>
          <w:iCs/>
        </w:rPr>
        <w:t xml:space="preserve">Key facts about late or no prenatal care. </w:t>
      </w:r>
      <w:r w:rsidRPr="005747D2">
        <w:t xml:space="preserve">Available at: </w:t>
      </w:r>
      <w:hyperlink r:id="rId16" w:history="1">
        <w:r w:rsidRPr="005747D2">
          <w:rPr>
            <w:rStyle w:val="Hyperlink"/>
          </w:rPr>
          <w:t>URL to Source</w:t>
        </w:r>
      </w:hyperlink>
    </w:p>
    <w:p w14:paraId="4D59B4C6" w14:textId="77777777" w:rsidR="0073169C" w:rsidRPr="005747D2" w:rsidRDefault="00EF7AC8" w:rsidP="005747D2">
      <w:pPr>
        <w:pStyle w:val="ListParagraph"/>
        <w:numPr>
          <w:ilvl w:val="0"/>
          <w:numId w:val="13"/>
        </w:numPr>
      </w:pPr>
      <w:r w:rsidRPr="005747D2">
        <w:t>National Academies of Sciences, Engineering, and Medicine. 2017. “The State of Health Disparities in the United States.” </w:t>
      </w:r>
      <w:r w:rsidRPr="005747D2">
        <w:rPr>
          <w:i/>
          <w:iCs/>
        </w:rPr>
        <w:t>Communities in Action: Pathways to Health Equity</w:t>
      </w:r>
      <w:r w:rsidRPr="005747D2">
        <w:t xml:space="preserve">. Washington, DC: The National Academies Press. </w:t>
      </w:r>
      <w:proofErr w:type="spellStart"/>
      <w:r w:rsidRPr="005747D2">
        <w:t>doi</w:t>
      </w:r>
      <w:proofErr w:type="spellEnd"/>
      <w:r w:rsidRPr="005747D2">
        <w:t xml:space="preserve">: 10.17226/24624. Available online at: </w:t>
      </w:r>
      <w:hyperlink r:id="rId17" w:history="1">
        <w:r w:rsidRPr="005747D2">
          <w:rPr>
            <w:rStyle w:val="Hyperlink"/>
          </w:rPr>
          <w:t>URL to Source</w:t>
        </w:r>
      </w:hyperlink>
    </w:p>
    <w:p w14:paraId="0578DE29" w14:textId="77777777" w:rsidR="0073169C" w:rsidRPr="005747D2" w:rsidRDefault="00EF7AC8" w:rsidP="005747D2">
      <w:pPr>
        <w:pStyle w:val="ListParagraph"/>
        <w:numPr>
          <w:ilvl w:val="0"/>
          <w:numId w:val="13"/>
        </w:numPr>
      </w:pPr>
      <w:proofErr w:type="spellStart"/>
      <w:r w:rsidRPr="005747D2">
        <w:t>Pauly</w:t>
      </w:r>
      <w:proofErr w:type="spellEnd"/>
      <w:r w:rsidRPr="005747D2">
        <w:t xml:space="preserve"> BM, </w:t>
      </w:r>
      <w:proofErr w:type="spellStart"/>
      <w:r w:rsidRPr="005747D2">
        <w:t>Shahram</w:t>
      </w:r>
      <w:proofErr w:type="spellEnd"/>
      <w:r w:rsidRPr="005747D2">
        <w:t xml:space="preserve"> SZ, Dang PTH, Marcellus L, MacDonald M. Health Equity Talk: Understandings of Health Equity among Health Leaders. </w:t>
      </w:r>
      <w:r w:rsidRPr="005747D2">
        <w:rPr>
          <w:i/>
          <w:iCs/>
        </w:rPr>
        <w:t>AIMS Public Health</w:t>
      </w:r>
      <w:r w:rsidRPr="005747D2">
        <w:t>. 2017;4(5):490–512. Published 2017 Nov 15. doi:10.3934/publichealth.2017.5.490</w:t>
      </w:r>
    </w:p>
    <w:p w14:paraId="0ED8ABA4" w14:textId="1B2FE290" w:rsidR="00CA0506" w:rsidRDefault="00EF7AC8" w:rsidP="0025696C">
      <w:pPr>
        <w:pStyle w:val="ListParagraph"/>
        <w:numPr>
          <w:ilvl w:val="0"/>
          <w:numId w:val="13"/>
        </w:numPr>
      </w:pPr>
      <w:r w:rsidRPr="005747D2">
        <w:t xml:space="preserve">U.S. Department of Health and Human Services (2019). Disparities. Retrieved from: </w:t>
      </w:r>
      <w:hyperlink r:id="rId18" w:history="1">
        <w:r w:rsidRPr="005747D2">
          <w:rPr>
            <w:rStyle w:val="Hyperlink"/>
          </w:rPr>
          <w:t>URL to Source</w:t>
        </w:r>
      </w:hyperlink>
      <w:bookmarkStart w:id="0" w:name="_GoBack"/>
      <w:bookmarkEnd w:id="0"/>
    </w:p>
    <w:sectPr w:rsidR="00CA0506" w:rsidSect="006E5A5E">
      <w:footerReference w:type="default" r:id="rId19"/>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89B6E" w14:textId="77777777" w:rsidR="00A5333E" w:rsidRDefault="00A5333E" w:rsidP="00CA0506">
      <w:pPr>
        <w:spacing w:after="0" w:line="240" w:lineRule="auto"/>
      </w:pPr>
      <w:r>
        <w:separator/>
      </w:r>
    </w:p>
  </w:endnote>
  <w:endnote w:type="continuationSeparator" w:id="0">
    <w:p w14:paraId="4495B675" w14:textId="77777777" w:rsidR="00A5333E" w:rsidRDefault="00A5333E"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7663" w14:textId="2DB35429" w:rsidR="002E227C" w:rsidRPr="002E227C" w:rsidRDefault="002E227C" w:rsidP="002E227C">
    <w:pPr>
      <w:spacing w:after="0" w:line="240" w:lineRule="auto"/>
      <w:jc w:val="center"/>
      <w:rPr>
        <w:rFonts w:ascii="Times New Roman" w:eastAsia="Times New Roman" w:hAnsi="Times New Roman" w:cs="Times New Roman"/>
        <w:i/>
        <w:sz w:val="20"/>
        <w:szCs w:val="24"/>
      </w:rPr>
    </w:pPr>
    <w:r w:rsidRPr="002E227C">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55D2" w14:textId="77777777" w:rsidR="00A5333E" w:rsidRDefault="00A5333E" w:rsidP="00CA0506">
      <w:pPr>
        <w:spacing w:after="0" w:line="240" w:lineRule="auto"/>
      </w:pPr>
      <w:r>
        <w:separator/>
      </w:r>
    </w:p>
  </w:footnote>
  <w:footnote w:type="continuationSeparator" w:id="0">
    <w:p w14:paraId="5BAC8CE0" w14:textId="77777777" w:rsidR="00A5333E" w:rsidRDefault="00A5333E"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04E1EED1" w:rsidR="006E5A5E" w:rsidRPr="006E5A5E" w:rsidRDefault="00826E63"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Social Determinants of Health Module 2</w:t>
    </w:r>
    <w:r w:rsidR="006E5A5E" w:rsidRPr="006E5A5E">
      <w:rPr>
        <w:rStyle w:val="SubtleEmphasis"/>
        <w:b/>
        <w:i w:val="0"/>
        <w:color w:val="2E74B5" w:themeColor="accent5" w:themeShade="BF"/>
        <w:sz w:val="60"/>
        <w:szCs w:val="60"/>
      </w:rPr>
      <w:t xml:space="preserve"> 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23EA0BF7"/>
    <w:multiLevelType w:val="hybridMultilevel"/>
    <w:tmpl w:val="6040CD26"/>
    <w:lvl w:ilvl="0" w:tplc="D3DC3312">
      <w:start w:val="1"/>
      <w:numFmt w:val="bullet"/>
      <w:lvlText w:val="•"/>
      <w:lvlJc w:val="left"/>
      <w:pPr>
        <w:tabs>
          <w:tab w:val="num" w:pos="720"/>
        </w:tabs>
        <w:ind w:left="720" w:hanging="360"/>
      </w:pPr>
      <w:rPr>
        <w:rFonts w:ascii="Arial" w:hAnsi="Arial" w:hint="default"/>
      </w:rPr>
    </w:lvl>
    <w:lvl w:ilvl="1" w:tplc="AF1680CC" w:tentative="1">
      <w:start w:val="1"/>
      <w:numFmt w:val="bullet"/>
      <w:lvlText w:val="•"/>
      <w:lvlJc w:val="left"/>
      <w:pPr>
        <w:tabs>
          <w:tab w:val="num" w:pos="1440"/>
        </w:tabs>
        <w:ind w:left="1440" w:hanging="360"/>
      </w:pPr>
      <w:rPr>
        <w:rFonts w:ascii="Arial" w:hAnsi="Arial" w:hint="default"/>
      </w:rPr>
    </w:lvl>
    <w:lvl w:ilvl="2" w:tplc="82489900" w:tentative="1">
      <w:start w:val="1"/>
      <w:numFmt w:val="bullet"/>
      <w:lvlText w:val="•"/>
      <w:lvlJc w:val="left"/>
      <w:pPr>
        <w:tabs>
          <w:tab w:val="num" w:pos="2160"/>
        </w:tabs>
        <w:ind w:left="2160" w:hanging="360"/>
      </w:pPr>
      <w:rPr>
        <w:rFonts w:ascii="Arial" w:hAnsi="Arial" w:hint="default"/>
      </w:rPr>
    </w:lvl>
    <w:lvl w:ilvl="3" w:tplc="2D8EFD42" w:tentative="1">
      <w:start w:val="1"/>
      <w:numFmt w:val="bullet"/>
      <w:lvlText w:val="•"/>
      <w:lvlJc w:val="left"/>
      <w:pPr>
        <w:tabs>
          <w:tab w:val="num" w:pos="2880"/>
        </w:tabs>
        <w:ind w:left="2880" w:hanging="360"/>
      </w:pPr>
      <w:rPr>
        <w:rFonts w:ascii="Arial" w:hAnsi="Arial" w:hint="default"/>
      </w:rPr>
    </w:lvl>
    <w:lvl w:ilvl="4" w:tplc="7FE848CC" w:tentative="1">
      <w:start w:val="1"/>
      <w:numFmt w:val="bullet"/>
      <w:lvlText w:val="•"/>
      <w:lvlJc w:val="left"/>
      <w:pPr>
        <w:tabs>
          <w:tab w:val="num" w:pos="3600"/>
        </w:tabs>
        <w:ind w:left="3600" w:hanging="360"/>
      </w:pPr>
      <w:rPr>
        <w:rFonts w:ascii="Arial" w:hAnsi="Arial" w:hint="default"/>
      </w:rPr>
    </w:lvl>
    <w:lvl w:ilvl="5" w:tplc="07E4FD1E" w:tentative="1">
      <w:start w:val="1"/>
      <w:numFmt w:val="bullet"/>
      <w:lvlText w:val="•"/>
      <w:lvlJc w:val="left"/>
      <w:pPr>
        <w:tabs>
          <w:tab w:val="num" w:pos="4320"/>
        </w:tabs>
        <w:ind w:left="4320" w:hanging="360"/>
      </w:pPr>
      <w:rPr>
        <w:rFonts w:ascii="Arial" w:hAnsi="Arial" w:hint="default"/>
      </w:rPr>
    </w:lvl>
    <w:lvl w:ilvl="6" w:tplc="2CA4E94C" w:tentative="1">
      <w:start w:val="1"/>
      <w:numFmt w:val="bullet"/>
      <w:lvlText w:val="•"/>
      <w:lvlJc w:val="left"/>
      <w:pPr>
        <w:tabs>
          <w:tab w:val="num" w:pos="5040"/>
        </w:tabs>
        <w:ind w:left="5040" w:hanging="360"/>
      </w:pPr>
      <w:rPr>
        <w:rFonts w:ascii="Arial" w:hAnsi="Arial" w:hint="default"/>
      </w:rPr>
    </w:lvl>
    <w:lvl w:ilvl="7" w:tplc="AF0610FE" w:tentative="1">
      <w:start w:val="1"/>
      <w:numFmt w:val="bullet"/>
      <w:lvlText w:val="•"/>
      <w:lvlJc w:val="left"/>
      <w:pPr>
        <w:tabs>
          <w:tab w:val="num" w:pos="5760"/>
        </w:tabs>
        <w:ind w:left="5760" w:hanging="360"/>
      </w:pPr>
      <w:rPr>
        <w:rFonts w:ascii="Arial" w:hAnsi="Arial" w:hint="default"/>
      </w:rPr>
    </w:lvl>
    <w:lvl w:ilvl="8" w:tplc="207A60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3" w15:restartNumberingAfterBreak="0">
    <w:nsid w:val="3E946448"/>
    <w:multiLevelType w:val="hybridMultilevel"/>
    <w:tmpl w:val="F472602A"/>
    <w:lvl w:ilvl="0" w:tplc="A38A5E2C">
      <w:start w:val="1"/>
      <w:numFmt w:val="decimal"/>
      <w:lvlText w:val="%1."/>
      <w:lvlJc w:val="left"/>
      <w:pPr>
        <w:tabs>
          <w:tab w:val="num" w:pos="720"/>
        </w:tabs>
        <w:ind w:left="720" w:hanging="360"/>
      </w:pPr>
    </w:lvl>
    <w:lvl w:ilvl="1" w:tplc="5032048C" w:tentative="1">
      <w:start w:val="1"/>
      <w:numFmt w:val="decimal"/>
      <w:lvlText w:val="%2."/>
      <w:lvlJc w:val="left"/>
      <w:pPr>
        <w:tabs>
          <w:tab w:val="num" w:pos="1440"/>
        </w:tabs>
        <w:ind w:left="1440" w:hanging="360"/>
      </w:pPr>
    </w:lvl>
    <w:lvl w:ilvl="2" w:tplc="C618434C" w:tentative="1">
      <w:start w:val="1"/>
      <w:numFmt w:val="decimal"/>
      <w:lvlText w:val="%3."/>
      <w:lvlJc w:val="left"/>
      <w:pPr>
        <w:tabs>
          <w:tab w:val="num" w:pos="2160"/>
        </w:tabs>
        <w:ind w:left="2160" w:hanging="360"/>
      </w:pPr>
    </w:lvl>
    <w:lvl w:ilvl="3" w:tplc="484A8C04" w:tentative="1">
      <w:start w:val="1"/>
      <w:numFmt w:val="decimal"/>
      <w:lvlText w:val="%4."/>
      <w:lvlJc w:val="left"/>
      <w:pPr>
        <w:tabs>
          <w:tab w:val="num" w:pos="2880"/>
        </w:tabs>
        <w:ind w:left="2880" w:hanging="360"/>
      </w:pPr>
    </w:lvl>
    <w:lvl w:ilvl="4" w:tplc="D6AE735C" w:tentative="1">
      <w:start w:val="1"/>
      <w:numFmt w:val="decimal"/>
      <w:lvlText w:val="%5."/>
      <w:lvlJc w:val="left"/>
      <w:pPr>
        <w:tabs>
          <w:tab w:val="num" w:pos="3600"/>
        </w:tabs>
        <w:ind w:left="3600" w:hanging="360"/>
      </w:pPr>
    </w:lvl>
    <w:lvl w:ilvl="5" w:tplc="2B42E5B4" w:tentative="1">
      <w:start w:val="1"/>
      <w:numFmt w:val="decimal"/>
      <w:lvlText w:val="%6."/>
      <w:lvlJc w:val="left"/>
      <w:pPr>
        <w:tabs>
          <w:tab w:val="num" w:pos="4320"/>
        </w:tabs>
        <w:ind w:left="4320" w:hanging="360"/>
      </w:pPr>
    </w:lvl>
    <w:lvl w:ilvl="6" w:tplc="F05A4B9E" w:tentative="1">
      <w:start w:val="1"/>
      <w:numFmt w:val="decimal"/>
      <w:lvlText w:val="%7."/>
      <w:lvlJc w:val="left"/>
      <w:pPr>
        <w:tabs>
          <w:tab w:val="num" w:pos="5040"/>
        </w:tabs>
        <w:ind w:left="5040" w:hanging="360"/>
      </w:pPr>
    </w:lvl>
    <w:lvl w:ilvl="7" w:tplc="5E22C842" w:tentative="1">
      <w:start w:val="1"/>
      <w:numFmt w:val="decimal"/>
      <w:lvlText w:val="%8."/>
      <w:lvlJc w:val="left"/>
      <w:pPr>
        <w:tabs>
          <w:tab w:val="num" w:pos="5760"/>
        </w:tabs>
        <w:ind w:left="5760" w:hanging="360"/>
      </w:pPr>
    </w:lvl>
    <w:lvl w:ilvl="8" w:tplc="1E8C361A" w:tentative="1">
      <w:start w:val="1"/>
      <w:numFmt w:val="decimal"/>
      <w:lvlText w:val="%9."/>
      <w:lvlJc w:val="left"/>
      <w:pPr>
        <w:tabs>
          <w:tab w:val="num" w:pos="6480"/>
        </w:tabs>
        <w:ind w:left="6480" w:hanging="360"/>
      </w:pPr>
    </w:lvl>
  </w:abstractNum>
  <w:abstractNum w:abstractNumId="4" w15:restartNumberingAfterBreak="0">
    <w:nsid w:val="45FC1EB1"/>
    <w:multiLevelType w:val="hybridMultilevel"/>
    <w:tmpl w:val="36DE6DE2"/>
    <w:lvl w:ilvl="0" w:tplc="F87089D0">
      <w:start w:val="1"/>
      <w:numFmt w:val="decimal"/>
      <w:lvlText w:val="%1."/>
      <w:lvlJc w:val="left"/>
      <w:pPr>
        <w:tabs>
          <w:tab w:val="num" w:pos="720"/>
        </w:tabs>
        <w:ind w:left="720" w:hanging="360"/>
      </w:pPr>
    </w:lvl>
    <w:lvl w:ilvl="1" w:tplc="78643954" w:tentative="1">
      <w:start w:val="1"/>
      <w:numFmt w:val="decimal"/>
      <w:lvlText w:val="%2."/>
      <w:lvlJc w:val="left"/>
      <w:pPr>
        <w:tabs>
          <w:tab w:val="num" w:pos="1440"/>
        </w:tabs>
        <w:ind w:left="1440" w:hanging="360"/>
      </w:pPr>
    </w:lvl>
    <w:lvl w:ilvl="2" w:tplc="A686DE22" w:tentative="1">
      <w:start w:val="1"/>
      <w:numFmt w:val="decimal"/>
      <w:lvlText w:val="%3."/>
      <w:lvlJc w:val="left"/>
      <w:pPr>
        <w:tabs>
          <w:tab w:val="num" w:pos="2160"/>
        </w:tabs>
        <w:ind w:left="2160" w:hanging="360"/>
      </w:pPr>
    </w:lvl>
    <w:lvl w:ilvl="3" w:tplc="5092876E" w:tentative="1">
      <w:start w:val="1"/>
      <w:numFmt w:val="decimal"/>
      <w:lvlText w:val="%4."/>
      <w:lvlJc w:val="left"/>
      <w:pPr>
        <w:tabs>
          <w:tab w:val="num" w:pos="2880"/>
        </w:tabs>
        <w:ind w:left="2880" w:hanging="360"/>
      </w:pPr>
    </w:lvl>
    <w:lvl w:ilvl="4" w:tplc="F58A547A" w:tentative="1">
      <w:start w:val="1"/>
      <w:numFmt w:val="decimal"/>
      <w:lvlText w:val="%5."/>
      <w:lvlJc w:val="left"/>
      <w:pPr>
        <w:tabs>
          <w:tab w:val="num" w:pos="3600"/>
        </w:tabs>
        <w:ind w:left="3600" w:hanging="360"/>
      </w:pPr>
    </w:lvl>
    <w:lvl w:ilvl="5" w:tplc="29F2ADC6" w:tentative="1">
      <w:start w:val="1"/>
      <w:numFmt w:val="decimal"/>
      <w:lvlText w:val="%6."/>
      <w:lvlJc w:val="left"/>
      <w:pPr>
        <w:tabs>
          <w:tab w:val="num" w:pos="4320"/>
        </w:tabs>
        <w:ind w:left="4320" w:hanging="360"/>
      </w:pPr>
    </w:lvl>
    <w:lvl w:ilvl="6" w:tplc="1D4AFDC4" w:tentative="1">
      <w:start w:val="1"/>
      <w:numFmt w:val="decimal"/>
      <w:lvlText w:val="%7."/>
      <w:lvlJc w:val="left"/>
      <w:pPr>
        <w:tabs>
          <w:tab w:val="num" w:pos="5040"/>
        </w:tabs>
        <w:ind w:left="5040" w:hanging="360"/>
      </w:pPr>
    </w:lvl>
    <w:lvl w:ilvl="7" w:tplc="0E22766A" w:tentative="1">
      <w:start w:val="1"/>
      <w:numFmt w:val="decimal"/>
      <w:lvlText w:val="%8."/>
      <w:lvlJc w:val="left"/>
      <w:pPr>
        <w:tabs>
          <w:tab w:val="num" w:pos="5760"/>
        </w:tabs>
        <w:ind w:left="5760" w:hanging="360"/>
      </w:pPr>
    </w:lvl>
    <w:lvl w:ilvl="8" w:tplc="60E21392" w:tentative="1">
      <w:start w:val="1"/>
      <w:numFmt w:val="decimal"/>
      <w:lvlText w:val="%9."/>
      <w:lvlJc w:val="left"/>
      <w:pPr>
        <w:tabs>
          <w:tab w:val="num" w:pos="6480"/>
        </w:tabs>
        <w:ind w:left="6480" w:hanging="360"/>
      </w:pPr>
    </w:lvl>
  </w:abstractNum>
  <w:abstractNum w:abstractNumId="5"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6"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62CA2"/>
    <w:multiLevelType w:val="hybridMultilevel"/>
    <w:tmpl w:val="12269490"/>
    <w:lvl w:ilvl="0" w:tplc="E552387E">
      <w:start w:val="1"/>
      <w:numFmt w:val="bullet"/>
      <w:lvlText w:val="•"/>
      <w:lvlJc w:val="left"/>
      <w:pPr>
        <w:tabs>
          <w:tab w:val="num" w:pos="720"/>
        </w:tabs>
        <w:ind w:left="720" w:hanging="360"/>
      </w:pPr>
      <w:rPr>
        <w:rFonts w:ascii="Arial" w:hAnsi="Arial" w:hint="default"/>
      </w:rPr>
    </w:lvl>
    <w:lvl w:ilvl="1" w:tplc="89FE6F12" w:tentative="1">
      <w:start w:val="1"/>
      <w:numFmt w:val="bullet"/>
      <w:lvlText w:val="•"/>
      <w:lvlJc w:val="left"/>
      <w:pPr>
        <w:tabs>
          <w:tab w:val="num" w:pos="1440"/>
        </w:tabs>
        <w:ind w:left="1440" w:hanging="360"/>
      </w:pPr>
      <w:rPr>
        <w:rFonts w:ascii="Arial" w:hAnsi="Arial" w:hint="default"/>
      </w:rPr>
    </w:lvl>
    <w:lvl w:ilvl="2" w:tplc="7E36522A" w:tentative="1">
      <w:start w:val="1"/>
      <w:numFmt w:val="bullet"/>
      <w:lvlText w:val="•"/>
      <w:lvlJc w:val="left"/>
      <w:pPr>
        <w:tabs>
          <w:tab w:val="num" w:pos="2160"/>
        </w:tabs>
        <w:ind w:left="2160" w:hanging="360"/>
      </w:pPr>
      <w:rPr>
        <w:rFonts w:ascii="Arial" w:hAnsi="Arial" w:hint="default"/>
      </w:rPr>
    </w:lvl>
    <w:lvl w:ilvl="3" w:tplc="AB660D26" w:tentative="1">
      <w:start w:val="1"/>
      <w:numFmt w:val="bullet"/>
      <w:lvlText w:val="•"/>
      <w:lvlJc w:val="left"/>
      <w:pPr>
        <w:tabs>
          <w:tab w:val="num" w:pos="2880"/>
        </w:tabs>
        <w:ind w:left="2880" w:hanging="360"/>
      </w:pPr>
      <w:rPr>
        <w:rFonts w:ascii="Arial" w:hAnsi="Arial" w:hint="default"/>
      </w:rPr>
    </w:lvl>
    <w:lvl w:ilvl="4" w:tplc="C3DA1722" w:tentative="1">
      <w:start w:val="1"/>
      <w:numFmt w:val="bullet"/>
      <w:lvlText w:val="•"/>
      <w:lvlJc w:val="left"/>
      <w:pPr>
        <w:tabs>
          <w:tab w:val="num" w:pos="3600"/>
        </w:tabs>
        <w:ind w:left="3600" w:hanging="360"/>
      </w:pPr>
      <w:rPr>
        <w:rFonts w:ascii="Arial" w:hAnsi="Arial" w:hint="default"/>
      </w:rPr>
    </w:lvl>
    <w:lvl w:ilvl="5" w:tplc="EAD6C92C" w:tentative="1">
      <w:start w:val="1"/>
      <w:numFmt w:val="bullet"/>
      <w:lvlText w:val="•"/>
      <w:lvlJc w:val="left"/>
      <w:pPr>
        <w:tabs>
          <w:tab w:val="num" w:pos="4320"/>
        </w:tabs>
        <w:ind w:left="4320" w:hanging="360"/>
      </w:pPr>
      <w:rPr>
        <w:rFonts w:ascii="Arial" w:hAnsi="Arial" w:hint="default"/>
      </w:rPr>
    </w:lvl>
    <w:lvl w:ilvl="6" w:tplc="3E000D8C" w:tentative="1">
      <w:start w:val="1"/>
      <w:numFmt w:val="bullet"/>
      <w:lvlText w:val="•"/>
      <w:lvlJc w:val="left"/>
      <w:pPr>
        <w:tabs>
          <w:tab w:val="num" w:pos="5040"/>
        </w:tabs>
        <w:ind w:left="5040" w:hanging="360"/>
      </w:pPr>
      <w:rPr>
        <w:rFonts w:ascii="Arial" w:hAnsi="Arial" w:hint="default"/>
      </w:rPr>
    </w:lvl>
    <w:lvl w:ilvl="7" w:tplc="12FCC212" w:tentative="1">
      <w:start w:val="1"/>
      <w:numFmt w:val="bullet"/>
      <w:lvlText w:val="•"/>
      <w:lvlJc w:val="left"/>
      <w:pPr>
        <w:tabs>
          <w:tab w:val="num" w:pos="5760"/>
        </w:tabs>
        <w:ind w:left="5760" w:hanging="360"/>
      </w:pPr>
      <w:rPr>
        <w:rFonts w:ascii="Arial" w:hAnsi="Arial" w:hint="default"/>
      </w:rPr>
    </w:lvl>
    <w:lvl w:ilvl="8" w:tplc="E97003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1"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6"/>
  </w:num>
  <w:num w:numId="4">
    <w:abstractNumId w:val="2"/>
  </w:num>
  <w:num w:numId="5">
    <w:abstractNumId w:val="0"/>
  </w:num>
  <w:num w:numId="6">
    <w:abstractNumId w:val="11"/>
  </w:num>
  <w:num w:numId="7">
    <w:abstractNumId w:val="12"/>
  </w:num>
  <w:num w:numId="8">
    <w:abstractNumId w:val="7"/>
  </w:num>
  <w:num w:numId="9">
    <w:abstractNumId w:val="10"/>
  </w:num>
  <w:num w:numId="10">
    <w:abstractNumId w:val="1"/>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137A44"/>
    <w:rsid w:val="00184881"/>
    <w:rsid w:val="001A4350"/>
    <w:rsid w:val="001C041E"/>
    <w:rsid w:val="001F081A"/>
    <w:rsid w:val="0025696C"/>
    <w:rsid w:val="002E227C"/>
    <w:rsid w:val="00343B50"/>
    <w:rsid w:val="0038462B"/>
    <w:rsid w:val="003A74BA"/>
    <w:rsid w:val="00497577"/>
    <w:rsid w:val="005747D2"/>
    <w:rsid w:val="00592C18"/>
    <w:rsid w:val="00595081"/>
    <w:rsid w:val="00627CEC"/>
    <w:rsid w:val="006E5A5E"/>
    <w:rsid w:val="0073169C"/>
    <w:rsid w:val="00733D1C"/>
    <w:rsid w:val="007A781E"/>
    <w:rsid w:val="007F3C7A"/>
    <w:rsid w:val="007F4765"/>
    <w:rsid w:val="007F5A29"/>
    <w:rsid w:val="008049A3"/>
    <w:rsid w:val="00826E63"/>
    <w:rsid w:val="00843A78"/>
    <w:rsid w:val="00853D70"/>
    <w:rsid w:val="008C05E7"/>
    <w:rsid w:val="008E0FFC"/>
    <w:rsid w:val="00992816"/>
    <w:rsid w:val="009E33E0"/>
    <w:rsid w:val="00A01B13"/>
    <w:rsid w:val="00A23490"/>
    <w:rsid w:val="00A2502A"/>
    <w:rsid w:val="00A5333E"/>
    <w:rsid w:val="00A90914"/>
    <w:rsid w:val="00AA7845"/>
    <w:rsid w:val="00AC0812"/>
    <w:rsid w:val="00AD00EF"/>
    <w:rsid w:val="00AD14FA"/>
    <w:rsid w:val="00AD1DE1"/>
    <w:rsid w:val="00AF55DA"/>
    <w:rsid w:val="00B13651"/>
    <w:rsid w:val="00B231C9"/>
    <w:rsid w:val="00BD597D"/>
    <w:rsid w:val="00C103B1"/>
    <w:rsid w:val="00C46E95"/>
    <w:rsid w:val="00C5309F"/>
    <w:rsid w:val="00CA0506"/>
    <w:rsid w:val="00D542C9"/>
    <w:rsid w:val="00DF0FE7"/>
    <w:rsid w:val="00E2683C"/>
    <w:rsid w:val="00E36595"/>
    <w:rsid w:val="00E40A99"/>
    <w:rsid w:val="00E53F9C"/>
    <w:rsid w:val="00E71116"/>
    <w:rsid w:val="00E84856"/>
    <w:rsid w:val="00EE5441"/>
    <w:rsid w:val="00EF7AC8"/>
    <w:rsid w:val="00FD057F"/>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0080">
      <w:bodyDiv w:val="1"/>
      <w:marLeft w:val="0"/>
      <w:marRight w:val="0"/>
      <w:marTop w:val="0"/>
      <w:marBottom w:val="0"/>
      <w:divBdr>
        <w:top w:val="none" w:sz="0" w:space="0" w:color="auto"/>
        <w:left w:val="none" w:sz="0" w:space="0" w:color="auto"/>
        <w:bottom w:val="none" w:sz="0" w:space="0" w:color="auto"/>
        <w:right w:val="none" w:sz="0" w:space="0" w:color="auto"/>
      </w:divBdr>
      <w:divsChild>
        <w:div w:id="260721655">
          <w:marLeft w:val="806"/>
          <w:marRight w:val="0"/>
          <w:marTop w:val="200"/>
          <w:marBottom w:val="0"/>
          <w:divBdr>
            <w:top w:val="none" w:sz="0" w:space="0" w:color="auto"/>
            <w:left w:val="none" w:sz="0" w:space="0" w:color="auto"/>
            <w:bottom w:val="none" w:sz="0" w:space="0" w:color="auto"/>
            <w:right w:val="none" w:sz="0" w:space="0" w:color="auto"/>
          </w:divBdr>
        </w:div>
        <w:div w:id="1160728689">
          <w:marLeft w:val="806"/>
          <w:marRight w:val="0"/>
          <w:marTop w:val="200"/>
          <w:marBottom w:val="0"/>
          <w:divBdr>
            <w:top w:val="none" w:sz="0" w:space="0" w:color="auto"/>
            <w:left w:val="none" w:sz="0" w:space="0" w:color="auto"/>
            <w:bottom w:val="none" w:sz="0" w:space="0" w:color="auto"/>
            <w:right w:val="none" w:sz="0" w:space="0" w:color="auto"/>
          </w:divBdr>
        </w:div>
        <w:div w:id="570627840">
          <w:marLeft w:val="806"/>
          <w:marRight w:val="0"/>
          <w:marTop w:val="200"/>
          <w:marBottom w:val="0"/>
          <w:divBdr>
            <w:top w:val="none" w:sz="0" w:space="0" w:color="auto"/>
            <w:left w:val="none" w:sz="0" w:space="0" w:color="auto"/>
            <w:bottom w:val="none" w:sz="0" w:space="0" w:color="auto"/>
            <w:right w:val="none" w:sz="0" w:space="0" w:color="auto"/>
          </w:divBdr>
        </w:div>
        <w:div w:id="22481909">
          <w:marLeft w:val="806"/>
          <w:marRight w:val="0"/>
          <w:marTop w:val="200"/>
          <w:marBottom w:val="0"/>
          <w:divBdr>
            <w:top w:val="none" w:sz="0" w:space="0" w:color="auto"/>
            <w:left w:val="none" w:sz="0" w:space="0" w:color="auto"/>
            <w:bottom w:val="none" w:sz="0" w:space="0" w:color="auto"/>
            <w:right w:val="none" w:sz="0" w:space="0" w:color="auto"/>
          </w:divBdr>
        </w:div>
        <w:div w:id="1240990145">
          <w:marLeft w:val="806"/>
          <w:marRight w:val="0"/>
          <w:marTop w:val="200"/>
          <w:marBottom w:val="0"/>
          <w:divBdr>
            <w:top w:val="none" w:sz="0" w:space="0" w:color="auto"/>
            <w:left w:val="none" w:sz="0" w:space="0" w:color="auto"/>
            <w:bottom w:val="none" w:sz="0" w:space="0" w:color="auto"/>
            <w:right w:val="none" w:sz="0" w:space="0" w:color="auto"/>
          </w:divBdr>
        </w:div>
        <w:div w:id="1722705387">
          <w:marLeft w:val="806"/>
          <w:marRight w:val="0"/>
          <w:marTop w:val="200"/>
          <w:marBottom w:val="0"/>
          <w:divBdr>
            <w:top w:val="none" w:sz="0" w:space="0" w:color="auto"/>
            <w:left w:val="none" w:sz="0" w:space="0" w:color="auto"/>
            <w:bottom w:val="none" w:sz="0" w:space="0" w:color="auto"/>
            <w:right w:val="none" w:sz="0" w:space="0" w:color="auto"/>
          </w:divBdr>
        </w:div>
      </w:divsChild>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566038870">
      <w:bodyDiv w:val="1"/>
      <w:marLeft w:val="0"/>
      <w:marRight w:val="0"/>
      <w:marTop w:val="0"/>
      <w:marBottom w:val="0"/>
      <w:divBdr>
        <w:top w:val="none" w:sz="0" w:space="0" w:color="auto"/>
        <w:left w:val="none" w:sz="0" w:space="0" w:color="auto"/>
        <w:bottom w:val="none" w:sz="0" w:space="0" w:color="auto"/>
        <w:right w:val="none" w:sz="0" w:space="0" w:color="auto"/>
      </w:divBdr>
      <w:divsChild>
        <w:div w:id="201676294">
          <w:marLeft w:val="806"/>
          <w:marRight w:val="0"/>
          <w:marTop w:val="200"/>
          <w:marBottom w:val="0"/>
          <w:divBdr>
            <w:top w:val="none" w:sz="0" w:space="0" w:color="auto"/>
            <w:left w:val="none" w:sz="0" w:space="0" w:color="auto"/>
            <w:bottom w:val="none" w:sz="0" w:space="0" w:color="auto"/>
            <w:right w:val="none" w:sz="0" w:space="0" w:color="auto"/>
          </w:divBdr>
        </w:div>
        <w:div w:id="1093749006">
          <w:marLeft w:val="806"/>
          <w:marRight w:val="0"/>
          <w:marTop w:val="200"/>
          <w:marBottom w:val="0"/>
          <w:divBdr>
            <w:top w:val="none" w:sz="0" w:space="0" w:color="auto"/>
            <w:left w:val="none" w:sz="0" w:space="0" w:color="auto"/>
            <w:bottom w:val="none" w:sz="0" w:space="0" w:color="auto"/>
            <w:right w:val="none" w:sz="0" w:space="0" w:color="auto"/>
          </w:divBdr>
        </w:div>
        <w:div w:id="246547487">
          <w:marLeft w:val="806"/>
          <w:marRight w:val="0"/>
          <w:marTop w:val="200"/>
          <w:marBottom w:val="0"/>
          <w:divBdr>
            <w:top w:val="none" w:sz="0" w:space="0" w:color="auto"/>
            <w:left w:val="none" w:sz="0" w:space="0" w:color="auto"/>
            <w:bottom w:val="none" w:sz="0" w:space="0" w:color="auto"/>
            <w:right w:val="none" w:sz="0" w:space="0" w:color="auto"/>
          </w:divBdr>
        </w:div>
        <w:div w:id="1482111948">
          <w:marLeft w:val="806"/>
          <w:marRight w:val="0"/>
          <w:marTop w:val="200"/>
          <w:marBottom w:val="0"/>
          <w:divBdr>
            <w:top w:val="none" w:sz="0" w:space="0" w:color="auto"/>
            <w:left w:val="none" w:sz="0" w:space="0" w:color="auto"/>
            <w:bottom w:val="none" w:sz="0" w:space="0" w:color="auto"/>
            <w:right w:val="none" w:sz="0" w:space="0" w:color="auto"/>
          </w:divBdr>
        </w:div>
        <w:div w:id="846871557">
          <w:marLeft w:val="806"/>
          <w:marRight w:val="0"/>
          <w:marTop w:val="200"/>
          <w:marBottom w:val="0"/>
          <w:divBdr>
            <w:top w:val="none" w:sz="0" w:space="0" w:color="auto"/>
            <w:left w:val="none" w:sz="0" w:space="0" w:color="auto"/>
            <w:bottom w:val="none" w:sz="0" w:space="0" w:color="auto"/>
            <w:right w:val="none" w:sz="0" w:space="0" w:color="auto"/>
          </w:divBdr>
        </w:div>
        <w:div w:id="1067410850">
          <w:marLeft w:val="806"/>
          <w:marRight w:val="0"/>
          <w:marTop w:val="200"/>
          <w:marBottom w:val="0"/>
          <w:divBdr>
            <w:top w:val="none" w:sz="0" w:space="0" w:color="auto"/>
            <w:left w:val="none" w:sz="0" w:space="0" w:color="auto"/>
            <w:bottom w:val="none" w:sz="0" w:space="0" w:color="auto"/>
            <w:right w:val="none" w:sz="0" w:space="0" w:color="auto"/>
          </w:divBdr>
        </w:div>
        <w:div w:id="1075474467">
          <w:marLeft w:val="806"/>
          <w:marRight w:val="0"/>
          <w:marTop w:val="200"/>
          <w:marBottom w:val="0"/>
          <w:divBdr>
            <w:top w:val="none" w:sz="0" w:space="0" w:color="auto"/>
            <w:left w:val="none" w:sz="0" w:space="0" w:color="auto"/>
            <w:bottom w:val="none" w:sz="0" w:space="0" w:color="auto"/>
            <w:right w:val="none" w:sz="0" w:space="0" w:color="auto"/>
          </w:divBdr>
        </w:div>
        <w:div w:id="2048096388">
          <w:marLeft w:val="806"/>
          <w:marRight w:val="0"/>
          <w:marTop w:val="200"/>
          <w:marBottom w:val="0"/>
          <w:divBdr>
            <w:top w:val="none" w:sz="0" w:space="0" w:color="auto"/>
            <w:left w:val="none" w:sz="0" w:space="0" w:color="auto"/>
            <w:bottom w:val="none" w:sz="0" w:space="0" w:color="auto"/>
            <w:right w:val="none" w:sz="0" w:space="0" w:color="auto"/>
          </w:divBdr>
        </w:div>
        <w:div w:id="1256553994">
          <w:marLeft w:val="806"/>
          <w:marRight w:val="0"/>
          <w:marTop w:val="200"/>
          <w:marBottom w:val="0"/>
          <w:divBdr>
            <w:top w:val="none" w:sz="0" w:space="0" w:color="auto"/>
            <w:left w:val="none" w:sz="0" w:space="0" w:color="auto"/>
            <w:bottom w:val="none" w:sz="0" w:space="0" w:color="auto"/>
            <w:right w:val="none" w:sz="0" w:space="0" w:color="auto"/>
          </w:divBdr>
        </w:div>
        <w:div w:id="1870100672">
          <w:marLeft w:val="806"/>
          <w:marRight w:val="0"/>
          <w:marTop w:val="200"/>
          <w:marBottom w:val="0"/>
          <w:divBdr>
            <w:top w:val="none" w:sz="0" w:space="0" w:color="auto"/>
            <w:left w:val="none" w:sz="0" w:space="0" w:color="auto"/>
            <w:bottom w:val="none" w:sz="0" w:space="0" w:color="auto"/>
            <w:right w:val="none" w:sz="0" w:space="0" w:color="auto"/>
          </w:divBdr>
        </w:div>
        <w:div w:id="197200490">
          <w:marLeft w:val="806"/>
          <w:marRight w:val="0"/>
          <w:marTop w:val="200"/>
          <w:marBottom w:val="0"/>
          <w:divBdr>
            <w:top w:val="none" w:sz="0" w:space="0" w:color="auto"/>
            <w:left w:val="none" w:sz="0" w:space="0" w:color="auto"/>
            <w:bottom w:val="none" w:sz="0" w:space="0" w:color="auto"/>
            <w:right w:val="none" w:sz="0" w:space="0" w:color="auto"/>
          </w:divBdr>
        </w:div>
      </w:divsChild>
    </w:div>
    <w:div w:id="629745107">
      <w:bodyDiv w:val="1"/>
      <w:marLeft w:val="0"/>
      <w:marRight w:val="0"/>
      <w:marTop w:val="0"/>
      <w:marBottom w:val="0"/>
      <w:divBdr>
        <w:top w:val="none" w:sz="0" w:space="0" w:color="auto"/>
        <w:left w:val="none" w:sz="0" w:space="0" w:color="auto"/>
        <w:bottom w:val="none" w:sz="0" w:space="0" w:color="auto"/>
        <w:right w:val="none" w:sz="0" w:space="0" w:color="auto"/>
      </w:divBdr>
    </w:div>
    <w:div w:id="660355527">
      <w:bodyDiv w:val="1"/>
      <w:marLeft w:val="0"/>
      <w:marRight w:val="0"/>
      <w:marTop w:val="0"/>
      <w:marBottom w:val="0"/>
      <w:divBdr>
        <w:top w:val="none" w:sz="0" w:space="0" w:color="auto"/>
        <w:left w:val="none" w:sz="0" w:space="0" w:color="auto"/>
        <w:bottom w:val="none" w:sz="0" w:space="0" w:color="auto"/>
        <w:right w:val="none" w:sz="0" w:space="0" w:color="auto"/>
      </w:divBdr>
    </w:div>
    <w:div w:id="976183579">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7366592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773">
          <w:marLeft w:val="360"/>
          <w:marRight w:val="0"/>
          <w:marTop w:val="200"/>
          <w:marBottom w:val="0"/>
          <w:divBdr>
            <w:top w:val="none" w:sz="0" w:space="0" w:color="auto"/>
            <w:left w:val="none" w:sz="0" w:space="0" w:color="auto"/>
            <w:bottom w:val="none" w:sz="0" w:space="0" w:color="auto"/>
            <w:right w:val="none" w:sz="0" w:space="0" w:color="auto"/>
          </w:divBdr>
        </w:div>
        <w:div w:id="2056003740">
          <w:marLeft w:val="360"/>
          <w:marRight w:val="0"/>
          <w:marTop w:val="200"/>
          <w:marBottom w:val="0"/>
          <w:divBdr>
            <w:top w:val="none" w:sz="0" w:space="0" w:color="auto"/>
            <w:left w:val="none" w:sz="0" w:space="0" w:color="auto"/>
            <w:bottom w:val="none" w:sz="0" w:space="0" w:color="auto"/>
            <w:right w:val="none" w:sz="0" w:space="0" w:color="auto"/>
          </w:divBdr>
        </w:div>
        <w:div w:id="712264869">
          <w:marLeft w:val="360"/>
          <w:marRight w:val="0"/>
          <w:marTop w:val="200"/>
          <w:marBottom w:val="0"/>
          <w:divBdr>
            <w:top w:val="none" w:sz="0" w:space="0" w:color="auto"/>
            <w:left w:val="none" w:sz="0" w:space="0" w:color="auto"/>
            <w:bottom w:val="none" w:sz="0" w:space="0" w:color="auto"/>
            <w:right w:val="none" w:sz="0" w:space="0" w:color="auto"/>
          </w:divBdr>
        </w:div>
      </w:divsChild>
    </w:div>
    <w:div w:id="1737050691">
      <w:bodyDiv w:val="1"/>
      <w:marLeft w:val="0"/>
      <w:marRight w:val="0"/>
      <w:marTop w:val="0"/>
      <w:marBottom w:val="0"/>
      <w:divBdr>
        <w:top w:val="none" w:sz="0" w:space="0" w:color="auto"/>
        <w:left w:val="none" w:sz="0" w:space="0" w:color="auto"/>
        <w:bottom w:val="none" w:sz="0" w:space="0" w:color="auto"/>
        <w:right w:val="none" w:sz="0" w:space="0" w:color="auto"/>
      </w:divBdr>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ealthypeople.gov/2020/topics-objectives/topic/lesbian-gay-bisexual-and-transgender-health?topicid=25" TargetMode="External"/><Relationship Id="rId18" Type="http://schemas.openxmlformats.org/officeDocument/2006/relationships/hyperlink" Target="https://www.healthypeople.gov/2020/about/foundation-health-measures/Disparit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16/j.amepre.2013.10.017" TargetMode="External"/><Relationship Id="rId17" Type="http://schemas.openxmlformats.org/officeDocument/2006/relationships/hyperlink" Target="https://www.nap.edu/read/24624/chapter/4" TargetMode="External"/><Relationship Id="rId2" Type="http://schemas.openxmlformats.org/officeDocument/2006/relationships/styles" Target="styles.xml"/><Relationship Id="rId16" Type="http://schemas.openxmlformats.org/officeDocument/2006/relationships/hyperlink" Target="https://www.childtrends.org/indicators/late-or-no-prenatal-car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cer.gov/about-nci/organization/crchd/about-health-disparities/examples" TargetMode="External"/><Relationship Id="rId5" Type="http://schemas.openxmlformats.org/officeDocument/2006/relationships/footnotes" Target="footnotes.xml"/><Relationship Id="rId15" Type="http://schemas.openxmlformats.org/officeDocument/2006/relationships/hyperlink" Target="https://www.bphc.org/whatwedo/health-equity-social-justice/what-is-health-equity/Pages/Health-Disparities-vs.-Health-Inequities.aspx"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dc.gov/reproductivehealth/maternalinfanthealth/infantmortality.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9</cp:revision>
  <dcterms:created xsi:type="dcterms:W3CDTF">2019-11-19T17:03:00Z</dcterms:created>
  <dcterms:modified xsi:type="dcterms:W3CDTF">2019-11-21T19:47:00Z</dcterms:modified>
</cp:coreProperties>
</file>