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391817" w14:textId="77777777" w:rsidR="002E3594" w:rsidRDefault="002E3594" w:rsidP="007B1930"/>
    <w:p w14:paraId="0BC21927" w14:textId="304BA85D" w:rsidR="00EA5117" w:rsidRPr="00EA5117" w:rsidRDefault="00EA5117" w:rsidP="00EA5117">
      <w:pPr>
        <w:rPr>
          <w:rFonts w:asciiTheme="majorHAnsi" w:hAnsiTheme="majorHAnsi"/>
        </w:rPr>
      </w:pPr>
      <w:r w:rsidRPr="00EA5117">
        <w:rPr>
          <w:rFonts w:asciiTheme="majorHAnsi" w:hAnsiTheme="majorHAnsi"/>
        </w:rPr>
        <w:t xml:space="preserve">In the Transgender module, we discussed how gender and sex are spectrums. We also discussed how everyone has a gender expression, gender identity, sexual orientation, and biological sex, not just people who are transgender. Using the image below, think about your own gender and sex and place an X on each of the lines below where you think you belong on the spectrum. You </w:t>
      </w:r>
      <w:proofErr w:type="gramStart"/>
      <w:r w:rsidRPr="00EA5117">
        <w:rPr>
          <w:rFonts w:asciiTheme="majorHAnsi" w:hAnsiTheme="majorHAnsi"/>
        </w:rPr>
        <w:t>don’t</w:t>
      </w:r>
      <w:proofErr w:type="gramEnd"/>
      <w:r w:rsidRPr="00EA5117">
        <w:rPr>
          <w:rFonts w:asciiTheme="majorHAnsi" w:hAnsiTheme="majorHAnsi"/>
        </w:rPr>
        <w:t xml:space="preserve"> have to share this with anyone else and it can remain anonymous. How did you decide where you placed yourself on these spectrums?</w:t>
      </w:r>
    </w:p>
    <w:p w14:paraId="67AC2E53" w14:textId="77777777" w:rsidR="002E3594" w:rsidRDefault="002E3594" w:rsidP="007B1930"/>
    <w:p w14:paraId="40989434" w14:textId="1E06321A" w:rsidR="00FE581D" w:rsidRDefault="00EA5117" w:rsidP="007B1930">
      <w:r w:rsidRPr="00D2709E">
        <w:rPr>
          <w:noProof/>
        </w:rPr>
        <mc:AlternateContent>
          <mc:Choice Requires="wps">
            <w:drawing>
              <wp:anchor distT="0" distB="0" distL="114300" distR="114300" simplePos="0" relativeHeight="251661312" behindDoc="0" locked="0" layoutInCell="1" allowOverlap="1" wp14:anchorId="13CB0932" wp14:editId="6EBCC338">
                <wp:simplePos x="0" y="0"/>
                <wp:positionH relativeFrom="margin">
                  <wp:posOffset>-635</wp:posOffset>
                </wp:positionH>
                <wp:positionV relativeFrom="paragraph">
                  <wp:posOffset>5144770</wp:posOffset>
                </wp:positionV>
                <wp:extent cx="6656705" cy="523875"/>
                <wp:effectExtent l="0" t="0" r="0" b="0"/>
                <wp:wrapNone/>
                <wp:docPr id="6" name="TextBox 5"/>
                <wp:cNvGraphicFramePr/>
                <a:graphic xmlns:a="http://schemas.openxmlformats.org/drawingml/2006/main">
                  <a:graphicData uri="http://schemas.microsoft.com/office/word/2010/wordprocessingShape">
                    <wps:wsp>
                      <wps:cNvSpPr txBox="1"/>
                      <wps:spPr>
                        <a:xfrm>
                          <a:off x="0" y="0"/>
                          <a:ext cx="6656705" cy="523875"/>
                        </a:xfrm>
                        <a:prstGeom prst="rect">
                          <a:avLst/>
                        </a:prstGeom>
                        <a:noFill/>
                      </wps:spPr>
                      <wps:txbx>
                        <w:txbxContent>
                          <w:p w14:paraId="0F92E4EB" w14:textId="77777777" w:rsidR="00EA5117" w:rsidRPr="00D2709E" w:rsidRDefault="00EA5117" w:rsidP="00EA5117">
                            <w:pPr>
                              <w:pStyle w:val="NormalWeb"/>
                              <w:spacing w:before="0" w:beforeAutospacing="0" w:after="0" w:afterAutospacing="0"/>
                              <w:rPr>
                                <w:sz w:val="18"/>
                                <w:szCs w:val="24"/>
                              </w:rPr>
                            </w:pPr>
                            <w:r w:rsidRPr="00D2709E">
                              <w:rPr>
                                <w:rFonts w:asciiTheme="minorHAnsi" w:hAnsi="Cambria" w:cstheme="minorBidi"/>
                                <w:b/>
                                <w:bCs/>
                                <w:color w:val="000000" w:themeColor="text1"/>
                                <w:kern w:val="24"/>
                                <w:szCs w:val="28"/>
                              </w:rPr>
                              <w:t xml:space="preserve">Fig 1. </w:t>
                            </w:r>
                            <w:r w:rsidRPr="00D2709E">
                              <w:rPr>
                                <w:rFonts w:asciiTheme="minorHAnsi" w:hAnsi="Cambria" w:cstheme="minorBidi"/>
                                <w:color w:val="000000"/>
                                <w:kern w:val="24"/>
                                <w:szCs w:val="28"/>
                              </w:rPr>
                              <w:t xml:space="preserve">The Gender Bread Person (2013). Breaking through the binary: Gender explained using continuums. Retrieved from: </w:t>
                            </w:r>
                            <w:hyperlink r:id="rId8" w:history="1">
                              <w:r w:rsidRPr="00D2709E">
                                <w:rPr>
                                  <w:rStyle w:val="Hyperlink"/>
                                  <w:rFonts w:asciiTheme="minorHAnsi" w:hAnsi="Cambria" w:cstheme="minorBidi"/>
                                  <w:color w:val="000000"/>
                                  <w:kern w:val="24"/>
                                  <w:szCs w:val="28"/>
                                </w:rPr>
                                <w:t>URL to Source</w:t>
                              </w:r>
                            </w:hyperlink>
                          </w:p>
                          <w:p w14:paraId="1164C30C" w14:textId="77777777" w:rsidR="00EA5117" w:rsidRDefault="00EA5117" w:rsidP="00EA5117">
                            <w:pPr>
                              <w:pStyle w:val="NormalWeb"/>
                              <w:spacing w:before="0" w:beforeAutospacing="0" w:after="0" w:afterAutospacing="0"/>
                            </w:pPr>
                            <w:r>
                              <w:rPr>
                                <w:rFonts w:asciiTheme="minorHAnsi" w:hAnsi="Cambria" w:cstheme="minorBidi"/>
                                <w:color w:val="000000" w:themeColor="text1"/>
                                <w:kern w:val="24"/>
                                <w:sz w:val="36"/>
                                <w:szCs w:val="36"/>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13CB0932" id="_x0000_t202" coordsize="21600,21600" o:spt="202" path="m,l,21600r21600,l21600,xe">
                <v:stroke joinstyle="miter"/>
                <v:path gradientshapeok="t" o:connecttype="rect"/>
              </v:shapetype>
              <v:shape id="TextBox 5" o:spid="_x0000_s1026" type="#_x0000_t202" style="position:absolute;margin-left:-.05pt;margin-top:405.1pt;width:524.15pt;height:41.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" filled="f" stroked="f">
                <v:textbox>
                  <w:txbxContent>
                    <w:p w14:paraId="0F92E4EB" w14:textId="77777777" w:rsidR="00EA5117" w:rsidRPr="00D2709E" w:rsidRDefault="00EA5117" w:rsidP="00EA5117">
                      <w:pPr>
                        <w:pStyle w:val="NormalWeb"/>
                        <w:spacing w:before="0" w:beforeAutospacing="0" w:after="0" w:afterAutospacing="0"/>
                        <w:rPr>
                          <w:sz w:val="18"/>
                          <w:szCs w:val="24"/>
                        </w:rPr>
                      </w:pPr>
                      <w:r w:rsidRPr="00D2709E">
                        <w:rPr>
                          <w:rFonts w:asciiTheme="minorHAnsi" w:hAnsi="Cambria" w:cstheme="minorBidi"/>
                          <w:b/>
                          <w:bCs/>
                          <w:color w:val="000000" w:themeColor="text1"/>
                          <w:kern w:val="24"/>
                          <w:szCs w:val="28"/>
                        </w:rPr>
                        <w:t xml:space="preserve">Fig 1. </w:t>
                      </w:r>
                      <w:r w:rsidRPr="00D2709E">
                        <w:rPr>
                          <w:rFonts w:asciiTheme="minorHAnsi" w:hAnsi="Cambria" w:cstheme="minorBidi"/>
                          <w:color w:val="000000"/>
                          <w:kern w:val="24"/>
                          <w:szCs w:val="28"/>
                        </w:rPr>
                        <w:t xml:space="preserve">The Gender Bread Person (2013). Breaking through the binary: Gender explained using continuums. Retrieved from: </w:t>
                      </w:r>
                      <w:hyperlink r:id="rId9" w:history="1">
                        <w:r w:rsidRPr="00D2709E">
                          <w:rPr>
                            <w:rStyle w:val="Hyperlink"/>
                            <w:rFonts w:asciiTheme="minorHAnsi" w:hAnsi="Cambria" w:cstheme="minorBidi"/>
                            <w:color w:val="000000"/>
                            <w:kern w:val="24"/>
                            <w:szCs w:val="28"/>
                          </w:rPr>
                          <w:t>URL to Source</w:t>
                        </w:r>
                      </w:hyperlink>
                    </w:p>
                    <w:p w14:paraId="1164C30C" w14:textId="77777777" w:rsidR="00EA5117" w:rsidRDefault="00EA5117" w:rsidP="00EA5117">
                      <w:pPr>
                        <w:pStyle w:val="NormalWeb"/>
                        <w:spacing w:before="0" w:beforeAutospacing="0" w:after="0" w:afterAutospacing="0"/>
                      </w:pPr>
                      <w:r>
                        <w:rPr>
                          <w:rFonts w:asciiTheme="minorHAnsi" w:hAnsi="Cambria" w:cstheme="minorBidi"/>
                          <w:color w:val="000000" w:themeColor="text1"/>
                          <w:kern w:val="24"/>
                          <w:sz w:val="36"/>
                          <w:szCs w:val="36"/>
                        </w:rPr>
                        <w:t xml:space="preserve"> </w:t>
                      </w:r>
                    </w:p>
                  </w:txbxContent>
                </v:textbox>
                <w10:wrap anchorx="margin"/>
              </v:shape>
            </w:pict>
          </mc:Fallback>
        </mc:AlternateContent>
      </w:r>
      <w:r>
        <w:rPr>
          <w:rFonts w:asciiTheme="majorHAnsi" w:hAnsiTheme="majorHAnsi"/>
          <w:noProof/>
        </w:rPr>
        <w:drawing>
          <wp:anchor distT="0" distB="0" distL="114300" distR="114300" simplePos="0" relativeHeight="251659264" behindDoc="1" locked="0" layoutInCell="1" allowOverlap="1" wp14:anchorId="0382E67E" wp14:editId="3AD8D62B">
            <wp:simplePos x="0" y="0"/>
            <wp:positionH relativeFrom="margin">
              <wp:align>center</wp:align>
            </wp:positionH>
            <wp:positionV relativeFrom="paragraph">
              <wp:posOffset>202565</wp:posOffset>
            </wp:positionV>
            <wp:extent cx="7539355" cy="4877435"/>
            <wp:effectExtent l="0" t="0" r="4445" b="0"/>
            <wp:wrapTight wrapText="bothSides">
              <wp:wrapPolygon edited="0">
                <wp:start x="0" y="0"/>
                <wp:lineTo x="0" y="21513"/>
                <wp:lineTo x="21558" y="21513"/>
                <wp:lineTo x="21558" y="0"/>
                <wp:lineTo x="0" y="0"/>
              </wp:wrapPolygon>
            </wp:wrapTight>
            <wp:docPr id="1" name="Picture 1" descr="Biological sex varies between female and male, intersex in the middle. Sexual orientation varies between heterosexual and homosexual with bisexual in the middle. Gender identity varies between woman and man with genderqueer in between. Gender expression varies between feminine and masculine with androgynous in the midd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nderbread-Person.jpg"/>
                    <pic:cNvPicPr/>
                  </pic:nvPicPr>
                  <pic:blipFill>
                    <a:blip r:embed="rId10">
                      <a:extLst>
                        <a:ext uri="{28A0092B-C50C-407E-A947-70E740481C1C}">
                          <a14:useLocalDpi xmlns:a14="http://schemas.microsoft.com/office/drawing/2010/main" val="0"/>
                        </a:ext>
                      </a:extLst>
                    </a:blip>
                    <a:stretch>
                      <a:fillRect/>
                    </a:stretch>
                  </pic:blipFill>
                  <pic:spPr>
                    <a:xfrm>
                      <a:off x="0" y="0"/>
                      <a:ext cx="7539355" cy="4877435"/>
                    </a:xfrm>
                    <a:prstGeom prst="rect">
                      <a:avLst/>
                    </a:prstGeom>
                  </pic:spPr>
                </pic:pic>
              </a:graphicData>
            </a:graphic>
            <wp14:sizeRelH relativeFrom="margin">
              <wp14:pctWidth>0</wp14:pctWidth>
            </wp14:sizeRelH>
            <wp14:sizeRelV relativeFrom="margin">
              <wp14:pctHeight>0</wp14:pctHeight>
            </wp14:sizeRelV>
          </wp:anchor>
        </w:drawing>
      </w:r>
    </w:p>
    <w:p w14:paraId="493EF48E" w14:textId="2C5398D1" w:rsidR="00FE581D" w:rsidRDefault="00FE581D" w:rsidP="007B1930"/>
    <w:p w14:paraId="12399E68" w14:textId="09F90D8E" w:rsidR="00FE581D" w:rsidRDefault="00FE581D" w:rsidP="007B1930"/>
    <w:p w14:paraId="44310005" w14:textId="36A6A9EE" w:rsidR="00FE581D" w:rsidRDefault="00FE581D" w:rsidP="007B1930"/>
    <w:p w14:paraId="291DAC89" w14:textId="77777777" w:rsidR="00FE581D" w:rsidRDefault="00FE581D" w:rsidP="007B1930"/>
    <w:p w14:paraId="6CB954F3" w14:textId="742DD9B7" w:rsidR="00FE581D" w:rsidRDefault="00FE581D" w:rsidP="007B1930"/>
    <w:p w14:paraId="2A116793" w14:textId="77777777" w:rsidR="00FE581D" w:rsidRDefault="00FE581D" w:rsidP="007B1930"/>
    <w:p w14:paraId="5DCE58D7" w14:textId="77777777" w:rsidR="00FE581D" w:rsidRDefault="00FE581D" w:rsidP="007B1930"/>
    <w:p w14:paraId="23C1DB70" w14:textId="37FA88AA" w:rsidR="00EA5117" w:rsidRDefault="00EA5117" w:rsidP="00EA5117">
      <w:pPr>
        <w:jc w:val="center"/>
      </w:pPr>
      <w:r>
        <w:rPr>
          <w:noProof/>
        </w:rPr>
        <w:lastRenderedPageBreak/>
        <w:drawing>
          <wp:inline distT="0" distB="0" distL="0" distR="0" wp14:anchorId="28D280A6" wp14:editId="33031247">
            <wp:extent cx="6120765" cy="34505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765" cy="3450590"/>
                    </a:xfrm>
                    <a:prstGeom prst="rect">
                      <a:avLst/>
                    </a:prstGeom>
                    <a:noFill/>
                  </pic:spPr>
                </pic:pic>
              </a:graphicData>
            </a:graphic>
          </wp:inline>
        </w:drawing>
      </w:r>
    </w:p>
    <w:p w14:paraId="0D59605B" w14:textId="77777777" w:rsidR="00EA5117" w:rsidRPr="00EA5117" w:rsidRDefault="00EA5117" w:rsidP="00EA5117"/>
    <w:p w14:paraId="737777F5" w14:textId="77777777" w:rsidR="00EA5117" w:rsidRPr="00EA5117" w:rsidRDefault="00EA5117" w:rsidP="00EA5117"/>
    <w:p w14:paraId="7E3CDEBC" w14:textId="00C8A25D" w:rsidR="00EA5117" w:rsidRPr="00EA5117" w:rsidRDefault="00EA5117" w:rsidP="00EA5117">
      <w:bookmarkStart w:id="0" w:name="_GoBack"/>
      <w:bookmarkEnd w:id="0"/>
    </w:p>
    <w:p w14:paraId="4361C049" w14:textId="77777777" w:rsidR="00EA5117" w:rsidRPr="00EA5117" w:rsidRDefault="00EA5117" w:rsidP="00EA5117"/>
    <w:p w14:paraId="4B606344" w14:textId="77777777" w:rsidR="00EA5117" w:rsidRPr="00EA5117" w:rsidRDefault="00EA5117" w:rsidP="00EA5117">
      <w:pPr>
        <w:rPr>
          <w:rFonts w:asciiTheme="majorHAnsi" w:hAnsiTheme="majorHAnsi" w:cstheme="majorHAnsi"/>
        </w:rPr>
      </w:pPr>
      <w:r w:rsidRPr="00EA5117">
        <w:rPr>
          <w:rFonts w:asciiTheme="majorHAnsi" w:hAnsiTheme="majorHAnsi" w:cstheme="majorHAnsi"/>
        </w:rPr>
        <w:t xml:space="preserve">References: </w:t>
      </w:r>
    </w:p>
    <w:p w14:paraId="4BCCF70D" w14:textId="77777777" w:rsidR="00EA5117" w:rsidRPr="00EA5117" w:rsidRDefault="00EA5117" w:rsidP="00EA5117">
      <w:pPr>
        <w:numPr>
          <w:ilvl w:val="0"/>
          <w:numId w:val="9"/>
        </w:numPr>
        <w:spacing w:before="100" w:beforeAutospacing="1" w:after="100" w:afterAutospacing="1"/>
        <w:rPr>
          <w:rFonts w:asciiTheme="majorHAnsi" w:hAnsiTheme="majorHAnsi" w:cstheme="majorHAnsi"/>
          <w:color w:val="000000"/>
          <w:sz w:val="22"/>
          <w:szCs w:val="20"/>
        </w:rPr>
      </w:pPr>
      <w:r w:rsidRPr="00EA5117">
        <w:rPr>
          <w:rFonts w:asciiTheme="majorHAnsi" w:hAnsiTheme="majorHAnsi" w:cstheme="majorHAnsi"/>
          <w:color w:val="000000"/>
          <w:sz w:val="22"/>
          <w:szCs w:val="20"/>
        </w:rPr>
        <w:t xml:space="preserve">Human Rights Campaign. “LGBTQ Definition for Adults: Welcoming Schools.” </w:t>
      </w:r>
      <w:r w:rsidRPr="00EA5117">
        <w:rPr>
          <w:rFonts w:asciiTheme="majorHAnsi" w:hAnsiTheme="majorHAnsi" w:cstheme="majorHAnsi"/>
          <w:i/>
          <w:iCs/>
          <w:color w:val="000000"/>
          <w:sz w:val="22"/>
          <w:szCs w:val="20"/>
        </w:rPr>
        <w:t>Human Rights Campaign</w:t>
      </w:r>
      <w:r w:rsidRPr="00EA5117">
        <w:rPr>
          <w:rFonts w:asciiTheme="majorHAnsi" w:hAnsiTheme="majorHAnsi" w:cstheme="majorHAnsi"/>
          <w:color w:val="000000"/>
          <w:sz w:val="22"/>
          <w:szCs w:val="20"/>
        </w:rPr>
        <w:t xml:space="preserve">, </w:t>
      </w:r>
      <w:hyperlink r:id="rId12" w:history="1">
        <w:r w:rsidRPr="00EA5117">
          <w:rPr>
            <w:rFonts w:asciiTheme="majorHAnsi" w:hAnsiTheme="majorHAnsi" w:cstheme="majorHAnsi"/>
            <w:color w:val="0000FF" w:themeColor="hyperlink"/>
            <w:sz w:val="22"/>
            <w:szCs w:val="20"/>
            <w:u w:val="single"/>
          </w:rPr>
          <w:t>URL to Source</w:t>
        </w:r>
      </w:hyperlink>
    </w:p>
    <w:p w14:paraId="112E9547" w14:textId="77777777" w:rsidR="00EA5117" w:rsidRPr="00EA5117" w:rsidRDefault="00EA5117" w:rsidP="00EA5117">
      <w:pPr>
        <w:numPr>
          <w:ilvl w:val="0"/>
          <w:numId w:val="9"/>
        </w:numPr>
        <w:spacing w:before="100" w:beforeAutospacing="1" w:after="100" w:afterAutospacing="1"/>
        <w:rPr>
          <w:rFonts w:asciiTheme="majorHAnsi" w:hAnsiTheme="majorHAnsi" w:cstheme="majorHAnsi"/>
          <w:color w:val="000000"/>
          <w:sz w:val="22"/>
          <w:szCs w:val="20"/>
        </w:rPr>
      </w:pPr>
      <w:r w:rsidRPr="00EA5117">
        <w:rPr>
          <w:rFonts w:asciiTheme="majorHAnsi" w:hAnsiTheme="majorHAnsi" w:cstheme="majorHAnsi"/>
          <w:color w:val="000000"/>
          <w:sz w:val="22"/>
          <w:szCs w:val="20"/>
        </w:rPr>
        <w:t xml:space="preserve">“Glossary of Terms </w:t>
      </w:r>
      <w:r w:rsidRPr="00EA5117">
        <w:rPr>
          <w:rFonts w:asciiTheme="majorHAnsi" w:hAnsiTheme="majorHAnsi" w:cstheme="majorHAnsi"/>
          <w:color w:val="000000"/>
          <w:sz w:val="22"/>
          <w:szCs w:val="20"/>
          <w:cs/>
          <w:lang w:bidi="mr-IN"/>
        </w:rPr>
        <w:t>–</w:t>
      </w:r>
      <w:r w:rsidRPr="00EA5117">
        <w:rPr>
          <w:rFonts w:asciiTheme="majorHAnsi" w:hAnsiTheme="majorHAnsi" w:cstheme="majorHAnsi"/>
          <w:color w:val="000000"/>
          <w:sz w:val="22"/>
          <w:szCs w:val="20"/>
        </w:rPr>
        <w:t xml:space="preserve"> Transgender.” </w:t>
      </w:r>
      <w:r w:rsidRPr="00EA5117">
        <w:rPr>
          <w:rFonts w:asciiTheme="majorHAnsi" w:hAnsiTheme="majorHAnsi" w:cstheme="majorHAnsi"/>
          <w:i/>
          <w:iCs/>
          <w:color w:val="000000"/>
          <w:sz w:val="22"/>
          <w:szCs w:val="20"/>
        </w:rPr>
        <w:t xml:space="preserve">GLAAD Media Reference Guide </w:t>
      </w:r>
      <w:r w:rsidRPr="00EA5117">
        <w:rPr>
          <w:rFonts w:asciiTheme="majorHAnsi" w:hAnsiTheme="majorHAnsi" w:cstheme="majorHAnsi"/>
          <w:i/>
          <w:iCs/>
          <w:color w:val="000000"/>
          <w:sz w:val="22"/>
          <w:szCs w:val="20"/>
          <w:cs/>
          <w:lang w:bidi="mr-IN"/>
        </w:rPr>
        <w:t>–</w:t>
      </w:r>
      <w:r w:rsidRPr="00EA5117">
        <w:rPr>
          <w:rFonts w:asciiTheme="majorHAnsi" w:hAnsiTheme="majorHAnsi" w:cstheme="majorHAnsi"/>
          <w:i/>
          <w:iCs/>
          <w:color w:val="000000"/>
          <w:sz w:val="22"/>
          <w:szCs w:val="20"/>
        </w:rPr>
        <w:t xml:space="preserve"> Transgender</w:t>
      </w:r>
      <w:r w:rsidRPr="00EA5117">
        <w:rPr>
          <w:rFonts w:asciiTheme="majorHAnsi" w:hAnsiTheme="majorHAnsi" w:cstheme="majorHAnsi"/>
          <w:color w:val="000000"/>
          <w:sz w:val="22"/>
          <w:szCs w:val="20"/>
        </w:rPr>
        <w:t xml:space="preserve">, GLAAD, </w:t>
      </w:r>
      <w:hyperlink r:id="rId13" w:history="1">
        <w:r w:rsidRPr="00EA5117">
          <w:rPr>
            <w:rFonts w:asciiTheme="majorHAnsi" w:hAnsiTheme="majorHAnsi" w:cstheme="majorHAnsi"/>
            <w:color w:val="0000FF" w:themeColor="hyperlink"/>
            <w:sz w:val="22"/>
            <w:szCs w:val="20"/>
            <w:u w:val="single"/>
          </w:rPr>
          <w:t>URL to Source</w:t>
        </w:r>
      </w:hyperlink>
    </w:p>
    <w:p w14:paraId="43217951" w14:textId="77777777" w:rsidR="00EA5117" w:rsidRPr="00EA5117" w:rsidRDefault="00EA5117" w:rsidP="00EA5117">
      <w:pPr>
        <w:numPr>
          <w:ilvl w:val="0"/>
          <w:numId w:val="9"/>
        </w:numPr>
        <w:spacing w:before="100" w:beforeAutospacing="1" w:after="100" w:afterAutospacing="1"/>
        <w:rPr>
          <w:rFonts w:asciiTheme="majorHAnsi" w:hAnsiTheme="majorHAnsi" w:cstheme="majorHAnsi"/>
          <w:color w:val="000000"/>
          <w:sz w:val="22"/>
          <w:szCs w:val="20"/>
        </w:rPr>
      </w:pPr>
      <w:r w:rsidRPr="00EA5117">
        <w:rPr>
          <w:rFonts w:asciiTheme="majorHAnsi" w:hAnsiTheme="majorHAnsi" w:cstheme="majorHAnsi"/>
          <w:color w:val="000000"/>
          <w:sz w:val="22"/>
          <w:szCs w:val="20"/>
        </w:rPr>
        <w:t xml:space="preserve">“Social Transitioning.” </w:t>
      </w:r>
      <w:r w:rsidRPr="00EA5117">
        <w:rPr>
          <w:rFonts w:asciiTheme="majorHAnsi" w:hAnsiTheme="majorHAnsi" w:cstheme="majorHAnsi"/>
          <w:i/>
          <w:iCs/>
          <w:color w:val="000000"/>
          <w:sz w:val="22"/>
          <w:szCs w:val="20"/>
        </w:rPr>
        <w:t>Beyond Gender</w:t>
      </w:r>
      <w:r w:rsidRPr="00EA5117">
        <w:rPr>
          <w:rFonts w:asciiTheme="majorHAnsi" w:hAnsiTheme="majorHAnsi" w:cstheme="majorHAnsi"/>
          <w:color w:val="000000"/>
          <w:sz w:val="22"/>
          <w:szCs w:val="20"/>
        </w:rPr>
        <w:t xml:space="preserve">, The Trevor Project, 2016, </w:t>
      </w:r>
      <w:hyperlink r:id="rId14" w:history="1">
        <w:r w:rsidRPr="00EA5117">
          <w:rPr>
            <w:rFonts w:asciiTheme="majorHAnsi" w:hAnsiTheme="majorHAnsi" w:cstheme="majorHAnsi"/>
            <w:color w:val="0000FF" w:themeColor="hyperlink"/>
            <w:sz w:val="22"/>
            <w:szCs w:val="20"/>
            <w:u w:val="single"/>
          </w:rPr>
          <w:t>URL to Source</w:t>
        </w:r>
      </w:hyperlink>
    </w:p>
    <w:p w14:paraId="7637FEED" w14:textId="77777777" w:rsidR="00EA5117" w:rsidRPr="00EA5117" w:rsidRDefault="00EA5117" w:rsidP="00EA5117">
      <w:pPr>
        <w:numPr>
          <w:ilvl w:val="0"/>
          <w:numId w:val="9"/>
        </w:numPr>
        <w:spacing w:before="100" w:beforeAutospacing="1" w:after="100" w:afterAutospacing="1"/>
        <w:rPr>
          <w:rFonts w:asciiTheme="majorHAnsi" w:hAnsiTheme="majorHAnsi" w:cstheme="majorHAnsi"/>
          <w:color w:val="000000"/>
          <w:sz w:val="22"/>
          <w:szCs w:val="20"/>
        </w:rPr>
      </w:pPr>
      <w:r w:rsidRPr="00EA5117">
        <w:rPr>
          <w:rFonts w:asciiTheme="majorHAnsi" w:hAnsiTheme="majorHAnsi" w:cstheme="majorHAnsi"/>
          <w:color w:val="000000"/>
          <w:sz w:val="22"/>
          <w:szCs w:val="20"/>
        </w:rPr>
        <w:t xml:space="preserve">The Gender Bread Person (2013). Breaking through the binary: Gender explained using continuums. Retrieved from: </w:t>
      </w:r>
      <w:hyperlink r:id="rId15" w:history="1">
        <w:r w:rsidRPr="00EA5117">
          <w:rPr>
            <w:rFonts w:asciiTheme="majorHAnsi" w:hAnsiTheme="majorHAnsi" w:cstheme="majorHAnsi"/>
            <w:color w:val="0000FF" w:themeColor="hyperlink"/>
            <w:sz w:val="22"/>
            <w:szCs w:val="20"/>
            <w:u w:val="single"/>
          </w:rPr>
          <w:t xml:space="preserve">URL to </w:t>
        </w:r>
      </w:hyperlink>
      <w:hyperlink r:id="rId16" w:history="1">
        <w:r w:rsidRPr="00EA5117">
          <w:rPr>
            <w:rFonts w:asciiTheme="majorHAnsi" w:hAnsiTheme="majorHAnsi" w:cstheme="majorHAnsi"/>
            <w:color w:val="0000FF" w:themeColor="hyperlink"/>
            <w:sz w:val="22"/>
            <w:szCs w:val="20"/>
            <w:u w:val="single"/>
          </w:rPr>
          <w:t>Source</w:t>
        </w:r>
      </w:hyperlink>
    </w:p>
    <w:p w14:paraId="5D3BB684" w14:textId="77777777" w:rsidR="00EA5117" w:rsidRPr="00EA5117" w:rsidRDefault="00EA5117" w:rsidP="00EA5117">
      <w:pPr>
        <w:numPr>
          <w:ilvl w:val="0"/>
          <w:numId w:val="9"/>
        </w:numPr>
        <w:spacing w:before="100" w:beforeAutospacing="1" w:after="100" w:afterAutospacing="1"/>
        <w:rPr>
          <w:rFonts w:asciiTheme="majorHAnsi" w:hAnsiTheme="majorHAnsi" w:cstheme="majorHAnsi"/>
          <w:color w:val="000000"/>
          <w:sz w:val="22"/>
          <w:szCs w:val="20"/>
        </w:rPr>
      </w:pPr>
      <w:r w:rsidRPr="00EA5117">
        <w:rPr>
          <w:rFonts w:asciiTheme="majorHAnsi" w:hAnsiTheme="majorHAnsi" w:cstheme="majorHAnsi"/>
          <w:color w:val="000000"/>
          <w:sz w:val="22"/>
          <w:szCs w:val="20"/>
        </w:rPr>
        <w:t xml:space="preserve">Trans Student Educational Resources (2019). Infographics. Retrieved from: </w:t>
      </w:r>
      <w:hyperlink r:id="rId17" w:history="1">
        <w:r w:rsidRPr="00EA5117">
          <w:rPr>
            <w:rFonts w:asciiTheme="majorHAnsi" w:hAnsiTheme="majorHAnsi" w:cstheme="majorHAnsi"/>
            <w:color w:val="0000FF" w:themeColor="hyperlink"/>
            <w:sz w:val="22"/>
            <w:szCs w:val="20"/>
            <w:u w:val="single"/>
          </w:rPr>
          <w:t xml:space="preserve">URL to </w:t>
        </w:r>
      </w:hyperlink>
      <w:hyperlink r:id="rId18" w:history="1">
        <w:r w:rsidRPr="00EA5117">
          <w:rPr>
            <w:rFonts w:asciiTheme="majorHAnsi" w:hAnsiTheme="majorHAnsi" w:cstheme="majorHAnsi"/>
            <w:color w:val="0000FF" w:themeColor="hyperlink"/>
            <w:sz w:val="22"/>
            <w:szCs w:val="20"/>
            <w:u w:val="single"/>
          </w:rPr>
          <w:t>Source</w:t>
        </w:r>
      </w:hyperlink>
    </w:p>
    <w:p w14:paraId="56D5DFDC" w14:textId="77777777" w:rsidR="00EA5117" w:rsidRPr="00EA5117" w:rsidRDefault="00EA5117" w:rsidP="00EA5117">
      <w:pPr>
        <w:numPr>
          <w:ilvl w:val="0"/>
          <w:numId w:val="9"/>
        </w:numPr>
        <w:spacing w:before="100" w:beforeAutospacing="1" w:after="100" w:afterAutospacing="1"/>
        <w:rPr>
          <w:rFonts w:asciiTheme="majorHAnsi" w:hAnsiTheme="majorHAnsi" w:cstheme="majorHAnsi"/>
          <w:color w:val="000000"/>
          <w:sz w:val="22"/>
          <w:szCs w:val="20"/>
        </w:rPr>
      </w:pPr>
      <w:proofErr w:type="spellStart"/>
      <w:r w:rsidRPr="00EA5117">
        <w:rPr>
          <w:rFonts w:asciiTheme="majorHAnsi" w:hAnsiTheme="majorHAnsi" w:cstheme="majorHAnsi"/>
          <w:color w:val="000000"/>
          <w:sz w:val="22"/>
          <w:szCs w:val="20"/>
        </w:rPr>
        <w:t>Reiff</w:t>
      </w:r>
      <w:proofErr w:type="spellEnd"/>
      <w:r w:rsidRPr="00EA5117">
        <w:rPr>
          <w:rFonts w:asciiTheme="majorHAnsi" w:hAnsiTheme="majorHAnsi" w:cstheme="majorHAnsi"/>
          <w:color w:val="000000"/>
          <w:sz w:val="22"/>
          <w:szCs w:val="20"/>
        </w:rPr>
        <w:t>, M. &amp; Mays, J. (2013). The Gender Book. Houston: Marshall House Press</w:t>
      </w:r>
    </w:p>
    <w:p w14:paraId="2159C172" w14:textId="181A9813" w:rsidR="00EA5117" w:rsidRDefault="00EA5117" w:rsidP="00EA5117"/>
    <w:p w14:paraId="4F48D3D0" w14:textId="77777777" w:rsidR="007B1930" w:rsidRPr="00EA5117" w:rsidRDefault="007B1930" w:rsidP="00EA5117">
      <w:pPr>
        <w:jc w:val="center"/>
      </w:pPr>
    </w:p>
    <w:sectPr w:rsidR="007B1930" w:rsidRPr="00EA5117" w:rsidSect="00BB4A9D">
      <w:headerReference w:type="default" r:id="rId19"/>
      <w:footerReference w:type="default" r:id="rId20"/>
      <w:headerReference w:type="first" r:id="rId21"/>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2ED332" w14:textId="77777777" w:rsidR="006E6631" w:rsidRDefault="006E6631" w:rsidP="002E3594">
      <w:r>
        <w:separator/>
      </w:r>
    </w:p>
  </w:endnote>
  <w:endnote w:type="continuationSeparator" w:id="0">
    <w:p w14:paraId="0C5657AD" w14:textId="77777777" w:rsidR="006E6631" w:rsidRDefault="006E6631" w:rsidP="002E35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4E"/>
    <w:family w:val="auto"/>
    <w:pitch w:val="variable"/>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A8BD73" w14:textId="511DA614" w:rsidR="00E27F84" w:rsidRPr="00E27F84" w:rsidRDefault="00E27F84" w:rsidP="00E27F84">
    <w:pPr>
      <w:jc w:val="center"/>
      <w:rPr>
        <w:rFonts w:ascii="Times New Roman" w:eastAsia="Times New Roman" w:hAnsi="Times New Roman" w:cs="Times New Roman"/>
        <w:sz w:val="20"/>
      </w:rPr>
    </w:pPr>
    <w:r w:rsidRPr="00E27F84">
      <w:rPr>
        <w:rFonts w:ascii="Calibri" w:eastAsia="Times New Roman" w:hAnsi="Calibri" w:cs="Times New Roman"/>
        <w:iCs/>
        <w:color w:val="000000"/>
        <w:kern w:val="24"/>
        <w:sz w:val="20"/>
      </w:rPr>
      <w:t>Developed resources reported in this presentation are supported by the National Library of Medicine (NLM), National Institutes of Health (NIH) under cooperative agreement number UG4LM012342 with the University of Pittsburgh, Health Sciences Library System. The content is solely the responsibility of the authors and does not necessarily represent the official views of the National Institutes of Health.</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276945" w14:textId="77777777" w:rsidR="006E6631" w:rsidRDefault="006E6631" w:rsidP="002E3594">
      <w:r>
        <w:separator/>
      </w:r>
    </w:p>
  </w:footnote>
  <w:footnote w:type="continuationSeparator" w:id="0">
    <w:p w14:paraId="3035D95B" w14:textId="77777777" w:rsidR="006E6631" w:rsidRDefault="006E6631" w:rsidP="002E35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7C3962" w14:textId="7B865731" w:rsidR="002E3594" w:rsidRPr="002E3594" w:rsidRDefault="002E3594" w:rsidP="002E3594">
    <w:pPr>
      <w:tabs>
        <w:tab w:val="center" w:pos="4680"/>
        <w:tab w:val="right" w:pos="9360"/>
      </w:tabs>
      <w:jc w:val="center"/>
      <w:rPr>
        <w:rFonts w:ascii="Calibri" w:eastAsia="Calibri" w:hAnsi="Calibri" w:cs="Times New Roman"/>
        <w:b/>
        <w:iCs/>
        <w:color w:val="2E74B5"/>
        <w:sz w:val="60"/>
        <w:szCs w:val="60"/>
      </w:rPr>
    </w:pPr>
  </w:p>
  <w:p w14:paraId="7EA8FFF8" w14:textId="77777777" w:rsidR="002E3594" w:rsidRDefault="002E35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CC0DD" w14:textId="718F8CB4" w:rsidR="00BB4A9D" w:rsidRPr="002E3594" w:rsidRDefault="00BB4A9D" w:rsidP="00BB4A9D">
    <w:pPr>
      <w:tabs>
        <w:tab w:val="center" w:pos="4680"/>
        <w:tab w:val="right" w:pos="9360"/>
      </w:tabs>
      <w:jc w:val="center"/>
      <w:rPr>
        <w:rFonts w:ascii="Calibri" w:eastAsia="Calibri" w:hAnsi="Calibri" w:cs="Times New Roman"/>
        <w:b/>
        <w:iCs/>
        <w:color w:val="2E74B5"/>
        <w:sz w:val="60"/>
        <w:szCs w:val="60"/>
      </w:rPr>
    </w:pPr>
    <w:r w:rsidRPr="002E3594">
      <w:rPr>
        <w:rFonts w:ascii="Calibri" w:eastAsia="Calibri" w:hAnsi="Calibri" w:cs="Times New Roman"/>
        <w:b/>
        <w:iCs/>
        <w:color w:val="2E74B5"/>
        <w:sz w:val="60"/>
        <w:szCs w:val="60"/>
      </w:rPr>
      <w:t>LGBT</w:t>
    </w:r>
    <w:r>
      <w:rPr>
        <w:rFonts w:ascii="Calibri" w:eastAsia="Calibri" w:hAnsi="Calibri" w:cs="Times New Roman"/>
        <w:b/>
        <w:iCs/>
        <w:color w:val="2E74B5"/>
        <w:sz w:val="60"/>
        <w:szCs w:val="60"/>
      </w:rPr>
      <w:t>Q+</w:t>
    </w:r>
    <w:r w:rsidR="00EA5117">
      <w:rPr>
        <w:rFonts w:ascii="Calibri" w:eastAsia="Calibri" w:hAnsi="Calibri" w:cs="Times New Roman"/>
        <w:b/>
        <w:iCs/>
        <w:color w:val="2E74B5"/>
        <w:sz w:val="60"/>
        <w:szCs w:val="60"/>
      </w:rPr>
      <w:t xml:space="preserve"> Module 2</w:t>
    </w:r>
    <w:r>
      <w:rPr>
        <w:rFonts w:ascii="Calibri" w:eastAsia="Calibri" w:hAnsi="Calibri" w:cs="Times New Roman"/>
        <w:b/>
        <w:iCs/>
        <w:color w:val="2E74B5"/>
        <w:sz w:val="60"/>
        <w:szCs w:val="60"/>
      </w:rPr>
      <w:t xml:space="preserve"> Key Concepts </w:t>
    </w:r>
    <w:r w:rsidRPr="002E3594">
      <w:rPr>
        <w:rFonts w:ascii="Calibri" w:eastAsia="Calibri" w:hAnsi="Calibri" w:cs="Times New Roman"/>
        <w:b/>
        <w:iCs/>
        <w:color w:val="2E74B5"/>
        <w:sz w:val="60"/>
        <w:szCs w:val="60"/>
      </w:rPr>
      <w:t>Handout</w:t>
    </w:r>
  </w:p>
  <w:p w14:paraId="1E5F1964" w14:textId="77777777" w:rsidR="00BB4A9D" w:rsidRPr="00BB4A9D" w:rsidRDefault="00BB4A9D" w:rsidP="00BB4A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A7C5A"/>
    <w:multiLevelType w:val="hybridMultilevel"/>
    <w:tmpl w:val="936AAC52"/>
    <w:lvl w:ilvl="0" w:tplc="6FBC0C86">
      <w:start w:val="1"/>
      <w:numFmt w:val="decimal"/>
      <w:lvlText w:val="%1."/>
      <w:lvlJc w:val="left"/>
      <w:pPr>
        <w:tabs>
          <w:tab w:val="num" w:pos="720"/>
        </w:tabs>
        <w:ind w:left="720" w:hanging="360"/>
      </w:pPr>
    </w:lvl>
    <w:lvl w:ilvl="1" w:tplc="B79A4648" w:tentative="1">
      <w:start w:val="1"/>
      <w:numFmt w:val="decimal"/>
      <w:lvlText w:val="%2."/>
      <w:lvlJc w:val="left"/>
      <w:pPr>
        <w:tabs>
          <w:tab w:val="num" w:pos="1440"/>
        </w:tabs>
        <w:ind w:left="1440" w:hanging="360"/>
      </w:pPr>
    </w:lvl>
    <w:lvl w:ilvl="2" w:tplc="BBF2B1F2" w:tentative="1">
      <w:start w:val="1"/>
      <w:numFmt w:val="decimal"/>
      <w:lvlText w:val="%3."/>
      <w:lvlJc w:val="left"/>
      <w:pPr>
        <w:tabs>
          <w:tab w:val="num" w:pos="2160"/>
        </w:tabs>
        <w:ind w:left="2160" w:hanging="360"/>
      </w:pPr>
    </w:lvl>
    <w:lvl w:ilvl="3" w:tplc="0460253C" w:tentative="1">
      <w:start w:val="1"/>
      <w:numFmt w:val="decimal"/>
      <w:lvlText w:val="%4."/>
      <w:lvlJc w:val="left"/>
      <w:pPr>
        <w:tabs>
          <w:tab w:val="num" w:pos="2880"/>
        </w:tabs>
        <w:ind w:left="2880" w:hanging="360"/>
      </w:pPr>
    </w:lvl>
    <w:lvl w:ilvl="4" w:tplc="EFAE9FE2" w:tentative="1">
      <w:start w:val="1"/>
      <w:numFmt w:val="decimal"/>
      <w:lvlText w:val="%5."/>
      <w:lvlJc w:val="left"/>
      <w:pPr>
        <w:tabs>
          <w:tab w:val="num" w:pos="3600"/>
        </w:tabs>
        <w:ind w:left="3600" w:hanging="360"/>
      </w:pPr>
    </w:lvl>
    <w:lvl w:ilvl="5" w:tplc="2EB8A7C0" w:tentative="1">
      <w:start w:val="1"/>
      <w:numFmt w:val="decimal"/>
      <w:lvlText w:val="%6."/>
      <w:lvlJc w:val="left"/>
      <w:pPr>
        <w:tabs>
          <w:tab w:val="num" w:pos="4320"/>
        </w:tabs>
        <w:ind w:left="4320" w:hanging="360"/>
      </w:pPr>
    </w:lvl>
    <w:lvl w:ilvl="6" w:tplc="213C8624" w:tentative="1">
      <w:start w:val="1"/>
      <w:numFmt w:val="decimal"/>
      <w:lvlText w:val="%7."/>
      <w:lvlJc w:val="left"/>
      <w:pPr>
        <w:tabs>
          <w:tab w:val="num" w:pos="5040"/>
        </w:tabs>
        <w:ind w:left="5040" w:hanging="360"/>
      </w:pPr>
    </w:lvl>
    <w:lvl w:ilvl="7" w:tplc="A76EAC48" w:tentative="1">
      <w:start w:val="1"/>
      <w:numFmt w:val="decimal"/>
      <w:lvlText w:val="%8."/>
      <w:lvlJc w:val="left"/>
      <w:pPr>
        <w:tabs>
          <w:tab w:val="num" w:pos="5760"/>
        </w:tabs>
        <w:ind w:left="5760" w:hanging="360"/>
      </w:pPr>
    </w:lvl>
    <w:lvl w:ilvl="8" w:tplc="E970FF04" w:tentative="1">
      <w:start w:val="1"/>
      <w:numFmt w:val="decimal"/>
      <w:lvlText w:val="%9."/>
      <w:lvlJc w:val="left"/>
      <w:pPr>
        <w:tabs>
          <w:tab w:val="num" w:pos="6480"/>
        </w:tabs>
        <w:ind w:left="6480" w:hanging="360"/>
      </w:pPr>
    </w:lvl>
  </w:abstractNum>
  <w:abstractNum w:abstractNumId="1" w15:restartNumberingAfterBreak="0">
    <w:nsid w:val="11E66A83"/>
    <w:multiLevelType w:val="hybridMultilevel"/>
    <w:tmpl w:val="DEDE8B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4269D4"/>
    <w:multiLevelType w:val="hybridMultilevel"/>
    <w:tmpl w:val="61EE7BDA"/>
    <w:lvl w:ilvl="0" w:tplc="D3E80574">
      <w:start w:val="1"/>
      <w:numFmt w:val="bullet"/>
      <w:lvlText w:val="•"/>
      <w:lvlJc w:val="left"/>
      <w:pPr>
        <w:tabs>
          <w:tab w:val="num" w:pos="720"/>
        </w:tabs>
        <w:ind w:left="720" w:hanging="360"/>
      </w:pPr>
      <w:rPr>
        <w:rFonts w:ascii="Arial" w:hAnsi="Arial" w:hint="default"/>
      </w:rPr>
    </w:lvl>
    <w:lvl w:ilvl="1" w:tplc="8D8A9204">
      <w:numFmt w:val="bullet"/>
      <w:lvlText w:val="–"/>
      <w:lvlJc w:val="left"/>
      <w:pPr>
        <w:tabs>
          <w:tab w:val="num" w:pos="1440"/>
        </w:tabs>
        <w:ind w:left="1440" w:hanging="360"/>
      </w:pPr>
      <w:rPr>
        <w:rFonts w:ascii="Arial" w:hAnsi="Arial" w:hint="default"/>
      </w:rPr>
    </w:lvl>
    <w:lvl w:ilvl="2" w:tplc="0A64E1F0" w:tentative="1">
      <w:start w:val="1"/>
      <w:numFmt w:val="bullet"/>
      <w:lvlText w:val="•"/>
      <w:lvlJc w:val="left"/>
      <w:pPr>
        <w:tabs>
          <w:tab w:val="num" w:pos="2160"/>
        </w:tabs>
        <w:ind w:left="2160" w:hanging="360"/>
      </w:pPr>
      <w:rPr>
        <w:rFonts w:ascii="Arial" w:hAnsi="Arial" w:hint="default"/>
      </w:rPr>
    </w:lvl>
    <w:lvl w:ilvl="3" w:tplc="3F9CCC0E" w:tentative="1">
      <w:start w:val="1"/>
      <w:numFmt w:val="bullet"/>
      <w:lvlText w:val="•"/>
      <w:lvlJc w:val="left"/>
      <w:pPr>
        <w:tabs>
          <w:tab w:val="num" w:pos="2880"/>
        </w:tabs>
        <w:ind w:left="2880" w:hanging="360"/>
      </w:pPr>
      <w:rPr>
        <w:rFonts w:ascii="Arial" w:hAnsi="Arial" w:hint="default"/>
      </w:rPr>
    </w:lvl>
    <w:lvl w:ilvl="4" w:tplc="B18E1EDC" w:tentative="1">
      <w:start w:val="1"/>
      <w:numFmt w:val="bullet"/>
      <w:lvlText w:val="•"/>
      <w:lvlJc w:val="left"/>
      <w:pPr>
        <w:tabs>
          <w:tab w:val="num" w:pos="3600"/>
        </w:tabs>
        <w:ind w:left="3600" w:hanging="360"/>
      </w:pPr>
      <w:rPr>
        <w:rFonts w:ascii="Arial" w:hAnsi="Arial" w:hint="default"/>
      </w:rPr>
    </w:lvl>
    <w:lvl w:ilvl="5" w:tplc="3E908C6E" w:tentative="1">
      <w:start w:val="1"/>
      <w:numFmt w:val="bullet"/>
      <w:lvlText w:val="•"/>
      <w:lvlJc w:val="left"/>
      <w:pPr>
        <w:tabs>
          <w:tab w:val="num" w:pos="4320"/>
        </w:tabs>
        <w:ind w:left="4320" w:hanging="360"/>
      </w:pPr>
      <w:rPr>
        <w:rFonts w:ascii="Arial" w:hAnsi="Arial" w:hint="default"/>
      </w:rPr>
    </w:lvl>
    <w:lvl w:ilvl="6" w:tplc="CEC0101E" w:tentative="1">
      <w:start w:val="1"/>
      <w:numFmt w:val="bullet"/>
      <w:lvlText w:val="•"/>
      <w:lvlJc w:val="left"/>
      <w:pPr>
        <w:tabs>
          <w:tab w:val="num" w:pos="5040"/>
        </w:tabs>
        <w:ind w:left="5040" w:hanging="360"/>
      </w:pPr>
      <w:rPr>
        <w:rFonts w:ascii="Arial" w:hAnsi="Arial" w:hint="default"/>
      </w:rPr>
    </w:lvl>
    <w:lvl w:ilvl="7" w:tplc="9F88C0CA" w:tentative="1">
      <w:start w:val="1"/>
      <w:numFmt w:val="bullet"/>
      <w:lvlText w:val="•"/>
      <w:lvlJc w:val="left"/>
      <w:pPr>
        <w:tabs>
          <w:tab w:val="num" w:pos="5760"/>
        </w:tabs>
        <w:ind w:left="5760" w:hanging="360"/>
      </w:pPr>
      <w:rPr>
        <w:rFonts w:ascii="Arial" w:hAnsi="Arial" w:hint="default"/>
      </w:rPr>
    </w:lvl>
    <w:lvl w:ilvl="8" w:tplc="84E279D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2125827"/>
    <w:multiLevelType w:val="hybridMultilevel"/>
    <w:tmpl w:val="570015EA"/>
    <w:lvl w:ilvl="0" w:tplc="0B786A48">
      <w:start w:val="1"/>
      <w:numFmt w:val="bullet"/>
      <w:lvlText w:val="•"/>
      <w:lvlJc w:val="left"/>
      <w:pPr>
        <w:tabs>
          <w:tab w:val="num" w:pos="720"/>
        </w:tabs>
        <w:ind w:left="720" w:hanging="360"/>
      </w:pPr>
      <w:rPr>
        <w:rFonts w:ascii="Arial" w:hAnsi="Arial" w:hint="default"/>
      </w:rPr>
    </w:lvl>
    <w:lvl w:ilvl="1" w:tplc="AF54D58E">
      <w:numFmt w:val="bullet"/>
      <w:lvlText w:val="–"/>
      <w:lvlJc w:val="left"/>
      <w:pPr>
        <w:tabs>
          <w:tab w:val="num" w:pos="1440"/>
        </w:tabs>
        <w:ind w:left="1440" w:hanging="360"/>
      </w:pPr>
      <w:rPr>
        <w:rFonts w:ascii="Arial" w:hAnsi="Arial" w:hint="default"/>
      </w:rPr>
    </w:lvl>
    <w:lvl w:ilvl="2" w:tplc="56F46718" w:tentative="1">
      <w:start w:val="1"/>
      <w:numFmt w:val="bullet"/>
      <w:lvlText w:val="•"/>
      <w:lvlJc w:val="left"/>
      <w:pPr>
        <w:tabs>
          <w:tab w:val="num" w:pos="2160"/>
        </w:tabs>
        <w:ind w:left="2160" w:hanging="360"/>
      </w:pPr>
      <w:rPr>
        <w:rFonts w:ascii="Arial" w:hAnsi="Arial" w:hint="default"/>
      </w:rPr>
    </w:lvl>
    <w:lvl w:ilvl="3" w:tplc="8AAEA3FC" w:tentative="1">
      <w:start w:val="1"/>
      <w:numFmt w:val="bullet"/>
      <w:lvlText w:val="•"/>
      <w:lvlJc w:val="left"/>
      <w:pPr>
        <w:tabs>
          <w:tab w:val="num" w:pos="2880"/>
        </w:tabs>
        <w:ind w:left="2880" w:hanging="360"/>
      </w:pPr>
      <w:rPr>
        <w:rFonts w:ascii="Arial" w:hAnsi="Arial" w:hint="default"/>
      </w:rPr>
    </w:lvl>
    <w:lvl w:ilvl="4" w:tplc="9CEC90EE" w:tentative="1">
      <w:start w:val="1"/>
      <w:numFmt w:val="bullet"/>
      <w:lvlText w:val="•"/>
      <w:lvlJc w:val="left"/>
      <w:pPr>
        <w:tabs>
          <w:tab w:val="num" w:pos="3600"/>
        </w:tabs>
        <w:ind w:left="3600" w:hanging="360"/>
      </w:pPr>
      <w:rPr>
        <w:rFonts w:ascii="Arial" w:hAnsi="Arial" w:hint="default"/>
      </w:rPr>
    </w:lvl>
    <w:lvl w:ilvl="5" w:tplc="84868342" w:tentative="1">
      <w:start w:val="1"/>
      <w:numFmt w:val="bullet"/>
      <w:lvlText w:val="•"/>
      <w:lvlJc w:val="left"/>
      <w:pPr>
        <w:tabs>
          <w:tab w:val="num" w:pos="4320"/>
        </w:tabs>
        <w:ind w:left="4320" w:hanging="360"/>
      </w:pPr>
      <w:rPr>
        <w:rFonts w:ascii="Arial" w:hAnsi="Arial" w:hint="default"/>
      </w:rPr>
    </w:lvl>
    <w:lvl w:ilvl="6" w:tplc="1E74A8B2" w:tentative="1">
      <w:start w:val="1"/>
      <w:numFmt w:val="bullet"/>
      <w:lvlText w:val="•"/>
      <w:lvlJc w:val="left"/>
      <w:pPr>
        <w:tabs>
          <w:tab w:val="num" w:pos="5040"/>
        </w:tabs>
        <w:ind w:left="5040" w:hanging="360"/>
      </w:pPr>
      <w:rPr>
        <w:rFonts w:ascii="Arial" w:hAnsi="Arial" w:hint="default"/>
      </w:rPr>
    </w:lvl>
    <w:lvl w:ilvl="7" w:tplc="3F06582E" w:tentative="1">
      <w:start w:val="1"/>
      <w:numFmt w:val="bullet"/>
      <w:lvlText w:val="•"/>
      <w:lvlJc w:val="left"/>
      <w:pPr>
        <w:tabs>
          <w:tab w:val="num" w:pos="5760"/>
        </w:tabs>
        <w:ind w:left="5760" w:hanging="360"/>
      </w:pPr>
      <w:rPr>
        <w:rFonts w:ascii="Arial" w:hAnsi="Arial" w:hint="default"/>
      </w:rPr>
    </w:lvl>
    <w:lvl w:ilvl="8" w:tplc="56349E9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1B412FF"/>
    <w:multiLevelType w:val="hybridMultilevel"/>
    <w:tmpl w:val="CD6EA8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082618C"/>
    <w:multiLevelType w:val="hybridMultilevel"/>
    <w:tmpl w:val="2AF43F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A070D19"/>
    <w:multiLevelType w:val="hybridMultilevel"/>
    <w:tmpl w:val="57EA1B78"/>
    <w:lvl w:ilvl="0" w:tplc="3A06467E">
      <w:start w:val="1"/>
      <w:numFmt w:val="decimal"/>
      <w:lvlText w:val="%1."/>
      <w:lvlJc w:val="left"/>
      <w:pPr>
        <w:tabs>
          <w:tab w:val="num" w:pos="720"/>
        </w:tabs>
        <w:ind w:left="720" w:hanging="360"/>
      </w:pPr>
    </w:lvl>
    <w:lvl w:ilvl="1" w:tplc="B31A5B00" w:tentative="1">
      <w:start w:val="1"/>
      <w:numFmt w:val="decimal"/>
      <w:lvlText w:val="%2."/>
      <w:lvlJc w:val="left"/>
      <w:pPr>
        <w:tabs>
          <w:tab w:val="num" w:pos="1440"/>
        </w:tabs>
        <w:ind w:left="1440" w:hanging="360"/>
      </w:pPr>
    </w:lvl>
    <w:lvl w:ilvl="2" w:tplc="9FB2082C" w:tentative="1">
      <w:start w:val="1"/>
      <w:numFmt w:val="decimal"/>
      <w:lvlText w:val="%3."/>
      <w:lvlJc w:val="left"/>
      <w:pPr>
        <w:tabs>
          <w:tab w:val="num" w:pos="2160"/>
        </w:tabs>
        <w:ind w:left="2160" w:hanging="360"/>
      </w:pPr>
    </w:lvl>
    <w:lvl w:ilvl="3" w:tplc="C03EA050" w:tentative="1">
      <w:start w:val="1"/>
      <w:numFmt w:val="decimal"/>
      <w:lvlText w:val="%4."/>
      <w:lvlJc w:val="left"/>
      <w:pPr>
        <w:tabs>
          <w:tab w:val="num" w:pos="2880"/>
        </w:tabs>
        <w:ind w:left="2880" w:hanging="360"/>
      </w:pPr>
    </w:lvl>
    <w:lvl w:ilvl="4" w:tplc="8FDEE154" w:tentative="1">
      <w:start w:val="1"/>
      <w:numFmt w:val="decimal"/>
      <w:lvlText w:val="%5."/>
      <w:lvlJc w:val="left"/>
      <w:pPr>
        <w:tabs>
          <w:tab w:val="num" w:pos="3600"/>
        </w:tabs>
        <w:ind w:left="3600" w:hanging="360"/>
      </w:pPr>
    </w:lvl>
    <w:lvl w:ilvl="5" w:tplc="CEFA03A2" w:tentative="1">
      <w:start w:val="1"/>
      <w:numFmt w:val="decimal"/>
      <w:lvlText w:val="%6."/>
      <w:lvlJc w:val="left"/>
      <w:pPr>
        <w:tabs>
          <w:tab w:val="num" w:pos="4320"/>
        </w:tabs>
        <w:ind w:left="4320" w:hanging="360"/>
      </w:pPr>
    </w:lvl>
    <w:lvl w:ilvl="6" w:tplc="DD549736" w:tentative="1">
      <w:start w:val="1"/>
      <w:numFmt w:val="decimal"/>
      <w:lvlText w:val="%7."/>
      <w:lvlJc w:val="left"/>
      <w:pPr>
        <w:tabs>
          <w:tab w:val="num" w:pos="5040"/>
        </w:tabs>
        <w:ind w:left="5040" w:hanging="360"/>
      </w:pPr>
    </w:lvl>
    <w:lvl w:ilvl="7" w:tplc="8A7E8236" w:tentative="1">
      <w:start w:val="1"/>
      <w:numFmt w:val="decimal"/>
      <w:lvlText w:val="%8."/>
      <w:lvlJc w:val="left"/>
      <w:pPr>
        <w:tabs>
          <w:tab w:val="num" w:pos="5760"/>
        </w:tabs>
        <w:ind w:left="5760" w:hanging="360"/>
      </w:pPr>
    </w:lvl>
    <w:lvl w:ilvl="8" w:tplc="B9E65ECE" w:tentative="1">
      <w:start w:val="1"/>
      <w:numFmt w:val="decimal"/>
      <w:lvlText w:val="%9."/>
      <w:lvlJc w:val="left"/>
      <w:pPr>
        <w:tabs>
          <w:tab w:val="num" w:pos="6480"/>
        </w:tabs>
        <w:ind w:left="6480" w:hanging="360"/>
      </w:pPr>
    </w:lvl>
  </w:abstractNum>
  <w:abstractNum w:abstractNumId="7" w15:restartNumberingAfterBreak="0">
    <w:nsid w:val="76AF78D6"/>
    <w:multiLevelType w:val="hybridMultilevel"/>
    <w:tmpl w:val="F8661A04"/>
    <w:lvl w:ilvl="0" w:tplc="738E9686">
      <w:start w:val="1"/>
      <w:numFmt w:val="decimal"/>
      <w:lvlText w:val="%1."/>
      <w:lvlJc w:val="left"/>
      <w:pPr>
        <w:tabs>
          <w:tab w:val="num" w:pos="720"/>
        </w:tabs>
        <w:ind w:left="720" w:hanging="360"/>
      </w:pPr>
    </w:lvl>
    <w:lvl w:ilvl="1" w:tplc="0DF83662" w:tentative="1">
      <w:start w:val="1"/>
      <w:numFmt w:val="decimal"/>
      <w:lvlText w:val="%2."/>
      <w:lvlJc w:val="left"/>
      <w:pPr>
        <w:tabs>
          <w:tab w:val="num" w:pos="1440"/>
        </w:tabs>
        <w:ind w:left="1440" w:hanging="360"/>
      </w:pPr>
    </w:lvl>
    <w:lvl w:ilvl="2" w:tplc="C070FC64" w:tentative="1">
      <w:start w:val="1"/>
      <w:numFmt w:val="decimal"/>
      <w:lvlText w:val="%3."/>
      <w:lvlJc w:val="left"/>
      <w:pPr>
        <w:tabs>
          <w:tab w:val="num" w:pos="2160"/>
        </w:tabs>
        <w:ind w:left="2160" w:hanging="360"/>
      </w:pPr>
    </w:lvl>
    <w:lvl w:ilvl="3" w:tplc="2530FB4C" w:tentative="1">
      <w:start w:val="1"/>
      <w:numFmt w:val="decimal"/>
      <w:lvlText w:val="%4."/>
      <w:lvlJc w:val="left"/>
      <w:pPr>
        <w:tabs>
          <w:tab w:val="num" w:pos="2880"/>
        </w:tabs>
        <w:ind w:left="2880" w:hanging="360"/>
      </w:pPr>
    </w:lvl>
    <w:lvl w:ilvl="4" w:tplc="40C0989E" w:tentative="1">
      <w:start w:val="1"/>
      <w:numFmt w:val="decimal"/>
      <w:lvlText w:val="%5."/>
      <w:lvlJc w:val="left"/>
      <w:pPr>
        <w:tabs>
          <w:tab w:val="num" w:pos="3600"/>
        </w:tabs>
        <w:ind w:left="3600" w:hanging="360"/>
      </w:pPr>
    </w:lvl>
    <w:lvl w:ilvl="5" w:tplc="8D44CCB2" w:tentative="1">
      <w:start w:val="1"/>
      <w:numFmt w:val="decimal"/>
      <w:lvlText w:val="%6."/>
      <w:lvlJc w:val="left"/>
      <w:pPr>
        <w:tabs>
          <w:tab w:val="num" w:pos="4320"/>
        </w:tabs>
        <w:ind w:left="4320" w:hanging="360"/>
      </w:pPr>
    </w:lvl>
    <w:lvl w:ilvl="6" w:tplc="61486990" w:tentative="1">
      <w:start w:val="1"/>
      <w:numFmt w:val="decimal"/>
      <w:lvlText w:val="%7."/>
      <w:lvlJc w:val="left"/>
      <w:pPr>
        <w:tabs>
          <w:tab w:val="num" w:pos="5040"/>
        </w:tabs>
        <w:ind w:left="5040" w:hanging="360"/>
      </w:pPr>
    </w:lvl>
    <w:lvl w:ilvl="7" w:tplc="4AB8F302" w:tentative="1">
      <w:start w:val="1"/>
      <w:numFmt w:val="decimal"/>
      <w:lvlText w:val="%8."/>
      <w:lvlJc w:val="left"/>
      <w:pPr>
        <w:tabs>
          <w:tab w:val="num" w:pos="5760"/>
        </w:tabs>
        <w:ind w:left="5760" w:hanging="360"/>
      </w:pPr>
    </w:lvl>
    <w:lvl w:ilvl="8" w:tplc="35F448EC" w:tentative="1">
      <w:start w:val="1"/>
      <w:numFmt w:val="decimal"/>
      <w:lvlText w:val="%9."/>
      <w:lvlJc w:val="left"/>
      <w:pPr>
        <w:tabs>
          <w:tab w:val="num" w:pos="6480"/>
        </w:tabs>
        <w:ind w:left="6480" w:hanging="360"/>
      </w:pPr>
    </w:lvl>
  </w:abstractNum>
  <w:abstractNum w:abstractNumId="8" w15:restartNumberingAfterBreak="0">
    <w:nsid w:val="7CD42707"/>
    <w:multiLevelType w:val="hybridMultilevel"/>
    <w:tmpl w:val="00A65A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8"/>
  </w:num>
  <w:num w:numId="4">
    <w:abstractNumId w:val="1"/>
  </w:num>
  <w:num w:numId="5">
    <w:abstractNumId w:val="5"/>
  </w:num>
  <w:num w:numId="6">
    <w:abstractNumId w:val="4"/>
  </w:num>
  <w:num w:numId="7">
    <w:abstractNumId w:val="0"/>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6EB7"/>
    <w:rsid w:val="0004382B"/>
    <w:rsid w:val="001B4DCE"/>
    <w:rsid w:val="00250E09"/>
    <w:rsid w:val="002A4EFD"/>
    <w:rsid w:val="002E3594"/>
    <w:rsid w:val="00374121"/>
    <w:rsid w:val="003D2187"/>
    <w:rsid w:val="004616BB"/>
    <w:rsid w:val="004C6EB7"/>
    <w:rsid w:val="00591B18"/>
    <w:rsid w:val="00605075"/>
    <w:rsid w:val="006E6631"/>
    <w:rsid w:val="00770D88"/>
    <w:rsid w:val="00777799"/>
    <w:rsid w:val="007A23DF"/>
    <w:rsid w:val="007B1930"/>
    <w:rsid w:val="0084484D"/>
    <w:rsid w:val="008D6A27"/>
    <w:rsid w:val="00A4433F"/>
    <w:rsid w:val="00AE4265"/>
    <w:rsid w:val="00B40C33"/>
    <w:rsid w:val="00B51457"/>
    <w:rsid w:val="00BB4A9D"/>
    <w:rsid w:val="00C3468A"/>
    <w:rsid w:val="00DF3A1B"/>
    <w:rsid w:val="00E27F84"/>
    <w:rsid w:val="00E54C75"/>
    <w:rsid w:val="00EA5117"/>
    <w:rsid w:val="00EC2BE1"/>
    <w:rsid w:val="00ED582E"/>
    <w:rsid w:val="00FE58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E309A72"/>
  <w14:defaultImageDpi w14:val="300"/>
  <w15:docId w15:val="{0FF2F21D-642A-4461-99FF-6406717F4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582E"/>
    <w:pPr>
      <w:ind w:left="720"/>
      <w:contextualSpacing/>
    </w:pPr>
  </w:style>
  <w:style w:type="table" w:styleId="TableGrid">
    <w:name w:val="Table Grid"/>
    <w:basedOn w:val="TableNormal"/>
    <w:uiPriority w:val="59"/>
    <w:rsid w:val="00ED58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E3594"/>
    <w:pPr>
      <w:tabs>
        <w:tab w:val="center" w:pos="4680"/>
        <w:tab w:val="right" w:pos="9360"/>
      </w:tabs>
    </w:pPr>
  </w:style>
  <w:style w:type="character" w:customStyle="1" w:styleId="HeaderChar">
    <w:name w:val="Header Char"/>
    <w:basedOn w:val="DefaultParagraphFont"/>
    <w:link w:val="Header"/>
    <w:uiPriority w:val="99"/>
    <w:rsid w:val="002E3594"/>
  </w:style>
  <w:style w:type="paragraph" w:styleId="Footer">
    <w:name w:val="footer"/>
    <w:basedOn w:val="Normal"/>
    <w:link w:val="FooterChar"/>
    <w:uiPriority w:val="99"/>
    <w:unhideWhenUsed/>
    <w:rsid w:val="002E3594"/>
    <w:pPr>
      <w:tabs>
        <w:tab w:val="center" w:pos="4680"/>
        <w:tab w:val="right" w:pos="9360"/>
      </w:tabs>
    </w:pPr>
  </w:style>
  <w:style w:type="character" w:customStyle="1" w:styleId="FooterChar">
    <w:name w:val="Footer Char"/>
    <w:basedOn w:val="DefaultParagraphFont"/>
    <w:link w:val="Footer"/>
    <w:uiPriority w:val="99"/>
    <w:rsid w:val="002E3594"/>
  </w:style>
  <w:style w:type="character" w:styleId="Hyperlink">
    <w:name w:val="Hyperlink"/>
    <w:basedOn w:val="DefaultParagraphFont"/>
    <w:uiPriority w:val="99"/>
    <w:unhideWhenUsed/>
    <w:rsid w:val="002E3594"/>
    <w:rPr>
      <w:color w:val="0000FF" w:themeColor="hyperlink"/>
      <w:u w:val="single"/>
    </w:rPr>
  </w:style>
  <w:style w:type="paragraph" w:styleId="NormalWeb">
    <w:name w:val="Normal (Web)"/>
    <w:basedOn w:val="Normal"/>
    <w:uiPriority w:val="99"/>
    <w:semiHidden/>
    <w:unhideWhenUsed/>
    <w:rsid w:val="00EA5117"/>
    <w:pPr>
      <w:spacing w:before="100" w:beforeAutospacing="1" w:after="100" w:afterAutospacing="1"/>
    </w:pPr>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803186">
      <w:bodyDiv w:val="1"/>
      <w:marLeft w:val="0"/>
      <w:marRight w:val="0"/>
      <w:marTop w:val="0"/>
      <w:marBottom w:val="0"/>
      <w:divBdr>
        <w:top w:val="none" w:sz="0" w:space="0" w:color="auto"/>
        <w:left w:val="none" w:sz="0" w:space="0" w:color="auto"/>
        <w:bottom w:val="none" w:sz="0" w:space="0" w:color="auto"/>
        <w:right w:val="none" w:sz="0" w:space="0" w:color="auto"/>
      </w:divBdr>
      <w:divsChild>
        <w:div w:id="843134663">
          <w:marLeft w:val="806"/>
          <w:marRight w:val="0"/>
          <w:marTop w:val="144"/>
          <w:marBottom w:val="0"/>
          <w:divBdr>
            <w:top w:val="none" w:sz="0" w:space="0" w:color="auto"/>
            <w:left w:val="none" w:sz="0" w:space="0" w:color="auto"/>
            <w:bottom w:val="none" w:sz="0" w:space="0" w:color="auto"/>
            <w:right w:val="none" w:sz="0" w:space="0" w:color="auto"/>
          </w:divBdr>
        </w:div>
      </w:divsChild>
    </w:div>
    <w:div w:id="269051140">
      <w:bodyDiv w:val="1"/>
      <w:marLeft w:val="0"/>
      <w:marRight w:val="0"/>
      <w:marTop w:val="0"/>
      <w:marBottom w:val="0"/>
      <w:divBdr>
        <w:top w:val="none" w:sz="0" w:space="0" w:color="auto"/>
        <w:left w:val="none" w:sz="0" w:space="0" w:color="auto"/>
        <w:bottom w:val="none" w:sz="0" w:space="0" w:color="auto"/>
        <w:right w:val="none" w:sz="0" w:space="0" w:color="auto"/>
      </w:divBdr>
      <w:divsChild>
        <w:div w:id="2045861468">
          <w:marLeft w:val="547"/>
          <w:marRight w:val="0"/>
          <w:marTop w:val="96"/>
          <w:marBottom w:val="0"/>
          <w:divBdr>
            <w:top w:val="none" w:sz="0" w:space="0" w:color="auto"/>
            <w:left w:val="none" w:sz="0" w:space="0" w:color="auto"/>
            <w:bottom w:val="none" w:sz="0" w:space="0" w:color="auto"/>
            <w:right w:val="none" w:sz="0" w:space="0" w:color="auto"/>
          </w:divBdr>
        </w:div>
        <w:div w:id="246039408">
          <w:marLeft w:val="1166"/>
          <w:marRight w:val="0"/>
          <w:marTop w:val="86"/>
          <w:marBottom w:val="0"/>
          <w:divBdr>
            <w:top w:val="none" w:sz="0" w:space="0" w:color="auto"/>
            <w:left w:val="none" w:sz="0" w:space="0" w:color="auto"/>
            <w:bottom w:val="none" w:sz="0" w:space="0" w:color="auto"/>
            <w:right w:val="none" w:sz="0" w:space="0" w:color="auto"/>
          </w:divBdr>
        </w:div>
        <w:div w:id="1591499010">
          <w:marLeft w:val="547"/>
          <w:marRight w:val="0"/>
          <w:marTop w:val="96"/>
          <w:marBottom w:val="0"/>
          <w:divBdr>
            <w:top w:val="none" w:sz="0" w:space="0" w:color="auto"/>
            <w:left w:val="none" w:sz="0" w:space="0" w:color="auto"/>
            <w:bottom w:val="none" w:sz="0" w:space="0" w:color="auto"/>
            <w:right w:val="none" w:sz="0" w:space="0" w:color="auto"/>
          </w:divBdr>
        </w:div>
        <w:div w:id="533730121">
          <w:marLeft w:val="1166"/>
          <w:marRight w:val="0"/>
          <w:marTop w:val="86"/>
          <w:marBottom w:val="0"/>
          <w:divBdr>
            <w:top w:val="none" w:sz="0" w:space="0" w:color="auto"/>
            <w:left w:val="none" w:sz="0" w:space="0" w:color="auto"/>
            <w:bottom w:val="none" w:sz="0" w:space="0" w:color="auto"/>
            <w:right w:val="none" w:sz="0" w:space="0" w:color="auto"/>
          </w:divBdr>
        </w:div>
        <w:div w:id="1719668347">
          <w:marLeft w:val="547"/>
          <w:marRight w:val="0"/>
          <w:marTop w:val="96"/>
          <w:marBottom w:val="0"/>
          <w:divBdr>
            <w:top w:val="none" w:sz="0" w:space="0" w:color="auto"/>
            <w:left w:val="none" w:sz="0" w:space="0" w:color="auto"/>
            <w:bottom w:val="none" w:sz="0" w:space="0" w:color="auto"/>
            <w:right w:val="none" w:sz="0" w:space="0" w:color="auto"/>
          </w:divBdr>
        </w:div>
        <w:div w:id="266156543">
          <w:marLeft w:val="1166"/>
          <w:marRight w:val="0"/>
          <w:marTop w:val="86"/>
          <w:marBottom w:val="0"/>
          <w:divBdr>
            <w:top w:val="none" w:sz="0" w:space="0" w:color="auto"/>
            <w:left w:val="none" w:sz="0" w:space="0" w:color="auto"/>
            <w:bottom w:val="none" w:sz="0" w:space="0" w:color="auto"/>
            <w:right w:val="none" w:sz="0" w:space="0" w:color="auto"/>
          </w:divBdr>
        </w:div>
        <w:div w:id="555119529">
          <w:marLeft w:val="547"/>
          <w:marRight w:val="0"/>
          <w:marTop w:val="96"/>
          <w:marBottom w:val="0"/>
          <w:divBdr>
            <w:top w:val="none" w:sz="0" w:space="0" w:color="auto"/>
            <w:left w:val="none" w:sz="0" w:space="0" w:color="auto"/>
            <w:bottom w:val="none" w:sz="0" w:space="0" w:color="auto"/>
            <w:right w:val="none" w:sz="0" w:space="0" w:color="auto"/>
          </w:divBdr>
        </w:div>
        <w:div w:id="1789203538">
          <w:marLeft w:val="1166"/>
          <w:marRight w:val="0"/>
          <w:marTop w:val="86"/>
          <w:marBottom w:val="0"/>
          <w:divBdr>
            <w:top w:val="none" w:sz="0" w:space="0" w:color="auto"/>
            <w:left w:val="none" w:sz="0" w:space="0" w:color="auto"/>
            <w:bottom w:val="none" w:sz="0" w:space="0" w:color="auto"/>
            <w:right w:val="none" w:sz="0" w:space="0" w:color="auto"/>
          </w:divBdr>
        </w:div>
      </w:divsChild>
    </w:div>
    <w:div w:id="1306398561">
      <w:bodyDiv w:val="1"/>
      <w:marLeft w:val="0"/>
      <w:marRight w:val="0"/>
      <w:marTop w:val="0"/>
      <w:marBottom w:val="0"/>
      <w:divBdr>
        <w:top w:val="none" w:sz="0" w:space="0" w:color="auto"/>
        <w:left w:val="none" w:sz="0" w:space="0" w:color="auto"/>
        <w:bottom w:val="none" w:sz="0" w:space="0" w:color="auto"/>
        <w:right w:val="none" w:sz="0" w:space="0" w:color="auto"/>
      </w:divBdr>
      <w:divsChild>
        <w:div w:id="694188617">
          <w:marLeft w:val="547"/>
          <w:marRight w:val="0"/>
          <w:marTop w:val="96"/>
          <w:marBottom w:val="0"/>
          <w:divBdr>
            <w:top w:val="none" w:sz="0" w:space="0" w:color="auto"/>
            <w:left w:val="none" w:sz="0" w:space="0" w:color="auto"/>
            <w:bottom w:val="none" w:sz="0" w:space="0" w:color="auto"/>
            <w:right w:val="none" w:sz="0" w:space="0" w:color="auto"/>
          </w:divBdr>
        </w:div>
        <w:div w:id="358089501">
          <w:marLeft w:val="1166"/>
          <w:marRight w:val="0"/>
          <w:marTop w:val="86"/>
          <w:marBottom w:val="0"/>
          <w:divBdr>
            <w:top w:val="none" w:sz="0" w:space="0" w:color="auto"/>
            <w:left w:val="none" w:sz="0" w:space="0" w:color="auto"/>
            <w:bottom w:val="none" w:sz="0" w:space="0" w:color="auto"/>
            <w:right w:val="none" w:sz="0" w:space="0" w:color="auto"/>
          </w:divBdr>
        </w:div>
        <w:div w:id="2133207511">
          <w:marLeft w:val="547"/>
          <w:marRight w:val="0"/>
          <w:marTop w:val="96"/>
          <w:marBottom w:val="0"/>
          <w:divBdr>
            <w:top w:val="none" w:sz="0" w:space="0" w:color="auto"/>
            <w:left w:val="none" w:sz="0" w:space="0" w:color="auto"/>
            <w:bottom w:val="none" w:sz="0" w:space="0" w:color="auto"/>
            <w:right w:val="none" w:sz="0" w:space="0" w:color="auto"/>
          </w:divBdr>
        </w:div>
        <w:div w:id="1500391920">
          <w:marLeft w:val="1166"/>
          <w:marRight w:val="0"/>
          <w:marTop w:val="86"/>
          <w:marBottom w:val="0"/>
          <w:divBdr>
            <w:top w:val="none" w:sz="0" w:space="0" w:color="auto"/>
            <w:left w:val="none" w:sz="0" w:space="0" w:color="auto"/>
            <w:bottom w:val="none" w:sz="0" w:space="0" w:color="auto"/>
            <w:right w:val="none" w:sz="0" w:space="0" w:color="auto"/>
          </w:divBdr>
        </w:div>
        <w:div w:id="1667904662">
          <w:marLeft w:val="547"/>
          <w:marRight w:val="0"/>
          <w:marTop w:val="96"/>
          <w:marBottom w:val="0"/>
          <w:divBdr>
            <w:top w:val="none" w:sz="0" w:space="0" w:color="auto"/>
            <w:left w:val="none" w:sz="0" w:space="0" w:color="auto"/>
            <w:bottom w:val="none" w:sz="0" w:space="0" w:color="auto"/>
            <w:right w:val="none" w:sz="0" w:space="0" w:color="auto"/>
          </w:divBdr>
        </w:div>
        <w:div w:id="940182287">
          <w:marLeft w:val="1166"/>
          <w:marRight w:val="0"/>
          <w:marTop w:val="86"/>
          <w:marBottom w:val="0"/>
          <w:divBdr>
            <w:top w:val="none" w:sz="0" w:space="0" w:color="auto"/>
            <w:left w:val="none" w:sz="0" w:space="0" w:color="auto"/>
            <w:bottom w:val="none" w:sz="0" w:space="0" w:color="auto"/>
            <w:right w:val="none" w:sz="0" w:space="0" w:color="auto"/>
          </w:divBdr>
        </w:div>
      </w:divsChild>
    </w:div>
    <w:div w:id="1893693971">
      <w:bodyDiv w:val="1"/>
      <w:marLeft w:val="0"/>
      <w:marRight w:val="0"/>
      <w:marTop w:val="0"/>
      <w:marBottom w:val="0"/>
      <w:divBdr>
        <w:top w:val="none" w:sz="0" w:space="0" w:color="auto"/>
        <w:left w:val="none" w:sz="0" w:space="0" w:color="auto"/>
        <w:bottom w:val="none" w:sz="0" w:space="0" w:color="auto"/>
        <w:right w:val="none" w:sz="0" w:space="0" w:color="auto"/>
      </w:divBdr>
      <w:divsChild>
        <w:div w:id="58093563">
          <w:marLeft w:val="806"/>
          <w:marRight w:val="0"/>
          <w:marTop w:val="200"/>
          <w:marBottom w:val="0"/>
          <w:divBdr>
            <w:top w:val="none" w:sz="0" w:space="0" w:color="auto"/>
            <w:left w:val="none" w:sz="0" w:space="0" w:color="auto"/>
            <w:bottom w:val="none" w:sz="0" w:space="0" w:color="auto"/>
            <w:right w:val="none" w:sz="0" w:space="0" w:color="auto"/>
          </w:divBdr>
        </w:div>
        <w:div w:id="2082290321">
          <w:marLeft w:val="806"/>
          <w:marRight w:val="0"/>
          <w:marTop w:val="200"/>
          <w:marBottom w:val="0"/>
          <w:divBdr>
            <w:top w:val="none" w:sz="0" w:space="0" w:color="auto"/>
            <w:left w:val="none" w:sz="0" w:space="0" w:color="auto"/>
            <w:bottom w:val="none" w:sz="0" w:space="0" w:color="auto"/>
            <w:right w:val="none" w:sz="0" w:space="0" w:color="auto"/>
          </w:divBdr>
        </w:div>
      </w:divsChild>
    </w:div>
    <w:div w:id="213857122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tspronouncedmetrosexual.com/2011/11/breaking-through-the-binary-gender-explained-using-continuums/" TargetMode="External"/><Relationship Id="rId13" Type="http://schemas.openxmlformats.org/officeDocument/2006/relationships/hyperlink" Target="https://www.glaad.org/reference/transgender" TargetMode="External"/><Relationship Id="rId18" Type="http://schemas.openxmlformats.org/officeDocument/2006/relationships/hyperlink" Target="https://www.transstudent.org/graphics"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welcomingschools.org/resources/definitions/definitions-for-adults/" TargetMode="External"/><Relationship Id="rId17" Type="http://schemas.openxmlformats.org/officeDocument/2006/relationships/hyperlink" Target="https://www.transstudent.org/graphics" TargetMode="External"/><Relationship Id="rId2" Type="http://schemas.openxmlformats.org/officeDocument/2006/relationships/numbering" Target="numbering.xml"/><Relationship Id="rId16" Type="http://schemas.openxmlformats.org/officeDocument/2006/relationships/hyperlink" Target="https://www.itspronouncedmetrosexual.com/2011/11/breaking-through-the-binary-gender-explained-using-continuum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www.itspronouncedmetrosexual.com/2011/11/breaking-through-the-binary-gender-explained-using-continuums/" TargetMode="External"/><Relationship Id="rId23"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itspronouncedmetrosexual.com/2011/11/breaking-through-the-binary-gender-explained-using-continuums/" TargetMode="External"/><Relationship Id="rId14" Type="http://schemas.openxmlformats.org/officeDocument/2006/relationships/hyperlink" Target="http://www.beyondgenderproject.org/social-transitioning.html"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5E900E4D-34AB-4814-BA23-5852C5652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255</Words>
  <Characters>1460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Ranck</dc:creator>
  <cp:keywords/>
  <dc:description/>
  <cp:lastModifiedBy>Seger, Erin</cp:lastModifiedBy>
  <cp:revision>2</cp:revision>
  <dcterms:created xsi:type="dcterms:W3CDTF">2019-11-21T19:34:00Z</dcterms:created>
  <dcterms:modified xsi:type="dcterms:W3CDTF">2019-11-21T19:34:00Z</dcterms:modified>
</cp:coreProperties>
</file>