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A553" w14:textId="77777777" w:rsidR="007A23DF" w:rsidRDefault="007A23DF" w:rsidP="00ED582E"/>
    <w:p w14:paraId="3BA623EC" w14:textId="53E6B330" w:rsidR="00ED582E" w:rsidRPr="002E3594" w:rsidRDefault="00ED582E" w:rsidP="002E3594">
      <w:pPr>
        <w:spacing w:after="160" w:line="312" w:lineRule="auto"/>
        <w:contextualSpacing/>
        <w:rPr>
          <w:rFonts w:eastAsiaTheme="minorHAnsi"/>
          <w:sz w:val="28"/>
          <w:szCs w:val="22"/>
        </w:rPr>
      </w:pPr>
      <w:r w:rsidRPr="002E3594">
        <w:rPr>
          <w:rFonts w:eastAsiaTheme="minorHAnsi"/>
          <w:sz w:val="28"/>
          <w:szCs w:val="22"/>
        </w:rPr>
        <w:t>Match the definition with the term</w:t>
      </w:r>
      <w:r w:rsidR="002E3594">
        <w:rPr>
          <w:rFonts w:eastAsiaTheme="minorHAnsi"/>
          <w:sz w:val="28"/>
          <w:szCs w:val="22"/>
        </w:rPr>
        <w:t>.</w:t>
      </w:r>
    </w:p>
    <w:p w14:paraId="40AE6EC1" w14:textId="77777777" w:rsidR="00ED582E" w:rsidRPr="00ED582E" w:rsidRDefault="00ED582E" w:rsidP="00ED582E"/>
    <w:tbl>
      <w:tblPr>
        <w:tblStyle w:val="TableGrid"/>
        <w:tblW w:w="9476" w:type="dxa"/>
        <w:jc w:val="center"/>
        <w:tblLook w:val="04A0" w:firstRow="1" w:lastRow="0" w:firstColumn="1" w:lastColumn="0" w:noHBand="0" w:noVBand="1"/>
      </w:tblPr>
      <w:tblGrid>
        <w:gridCol w:w="1278"/>
        <w:gridCol w:w="8198"/>
      </w:tblGrid>
      <w:tr w:rsidR="00770D88" w:rsidRPr="00ED582E" w14:paraId="2B3044B3" w14:textId="77777777" w:rsidTr="002E3594">
        <w:trPr>
          <w:trHeight w:val="209"/>
          <w:jc w:val="center"/>
        </w:trPr>
        <w:tc>
          <w:tcPr>
            <w:tcW w:w="1278" w:type="dxa"/>
          </w:tcPr>
          <w:p w14:paraId="7EDBB9C7" w14:textId="77777777" w:rsidR="00ED582E" w:rsidRPr="00ED582E" w:rsidRDefault="00ED582E" w:rsidP="00ED582E">
            <w:pPr>
              <w:jc w:val="center"/>
              <w:rPr>
                <w:b/>
              </w:rPr>
            </w:pPr>
            <w:r w:rsidRPr="00ED582E">
              <w:rPr>
                <w:b/>
              </w:rPr>
              <w:t>Terms</w:t>
            </w:r>
          </w:p>
        </w:tc>
        <w:tc>
          <w:tcPr>
            <w:tcW w:w="8198" w:type="dxa"/>
          </w:tcPr>
          <w:p w14:paraId="4E72F510" w14:textId="491DA653" w:rsidR="00ED582E" w:rsidRPr="00ED582E" w:rsidRDefault="00ED582E" w:rsidP="00770D88">
            <w:pPr>
              <w:jc w:val="center"/>
              <w:rPr>
                <w:b/>
              </w:rPr>
            </w:pPr>
            <w:r w:rsidRPr="00ED582E">
              <w:rPr>
                <w:b/>
              </w:rPr>
              <w:t xml:space="preserve">Definition </w:t>
            </w:r>
          </w:p>
        </w:tc>
      </w:tr>
      <w:tr w:rsidR="00770D88" w14:paraId="305EE1E3" w14:textId="77777777" w:rsidTr="002E3594">
        <w:trPr>
          <w:trHeight w:val="434"/>
          <w:jc w:val="center"/>
        </w:trPr>
        <w:tc>
          <w:tcPr>
            <w:tcW w:w="1278" w:type="dxa"/>
            <w:vAlign w:val="center"/>
          </w:tcPr>
          <w:p w14:paraId="75C8515A" w14:textId="77777777" w:rsidR="00ED582E" w:rsidRDefault="00ED582E" w:rsidP="00770D88">
            <w:pPr>
              <w:jc w:val="center"/>
            </w:pPr>
            <w:r>
              <w:t>Queer</w:t>
            </w:r>
          </w:p>
        </w:tc>
        <w:tc>
          <w:tcPr>
            <w:tcW w:w="8198" w:type="dxa"/>
            <w:vAlign w:val="center"/>
          </w:tcPr>
          <w:p w14:paraId="20E5F118" w14:textId="01312842" w:rsidR="00ED582E" w:rsidRDefault="003F42C9" w:rsidP="00770D88">
            <w:pPr>
              <w:jc w:val="center"/>
            </w:pPr>
            <w:r>
              <w:t>3</w:t>
            </w:r>
          </w:p>
        </w:tc>
      </w:tr>
      <w:tr w:rsidR="00770D88" w14:paraId="3C80E119" w14:textId="77777777" w:rsidTr="002E3594">
        <w:trPr>
          <w:trHeight w:val="469"/>
          <w:jc w:val="center"/>
        </w:trPr>
        <w:tc>
          <w:tcPr>
            <w:tcW w:w="1278" w:type="dxa"/>
            <w:vAlign w:val="center"/>
          </w:tcPr>
          <w:p w14:paraId="430C95D6" w14:textId="77777777" w:rsidR="00ED582E" w:rsidRDefault="00ED582E" w:rsidP="00770D88">
            <w:pPr>
              <w:jc w:val="center"/>
            </w:pPr>
            <w:r>
              <w:t>Gay</w:t>
            </w:r>
          </w:p>
        </w:tc>
        <w:tc>
          <w:tcPr>
            <w:tcW w:w="8198" w:type="dxa"/>
            <w:vAlign w:val="center"/>
          </w:tcPr>
          <w:p w14:paraId="54DCFA73" w14:textId="55E21D21" w:rsidR="00ED582E" w:rsidRDefault="003F42C9" w:rsidP="00770D88">
            <w:pPr>
              <w:jc w:val="center"/>
            </w:pPr>
            <w:r>
              <w:t>2</w:t>
            </w:r>
          </w:p>
        </w:tc>
      </w:tr>
      <w:tr w:rsidR="00770D88" w14:paraId="69EFF00B" w14:textId="77777777" w:rsidTr="002E3594">
        <w:trPr>
          <w:trHeight w:val="469"/>
          <w:jc w:val="center"/>
        </w:trPr>
        <w:tc>
          <w:tcPr>
            <w:tcW w:w="1278" w:type="dxa"/>
            <w:vAlign w:val="center"/>
          </w:tcPr>
          <w:p w14:paraId="37485553" w14:textId="77777777" w:rsidR="00ED582E" w:rsidRDefault="00ED582E" w:rsidP="00770D88">
            <w:pPr>
              <w:jc w:val="center"/>
            </w:pPr>
            <w:r>
              <w:t>Bisexual</w:t>
            </w:r>
          </w:p>
        </w:tc>
        <w:tc>
          <w:tcPr>
            <w:tcW w:w="8198" w:type="dxa"/>
            <w:vAlign w:val="center"/>
          </w:tcPr>
          <w:p w14:paraId="6CFE1170" w14:textId="5E845AD2" w:rsidR="00ED582E" w:rsidRDefault="003F42C9" w:rsidP="00770D88">
            <w:pPr>
              <w:jc w:val="center"/>
            </w:pPr>
            <w:r>
              <w:t>7</w:t>
            </w:r>
          </w:p>
        </w:tc>
      </w:tr>
      <w:tr w:rsidR="00770D88" w14:paraId="27E92321" w14:textId="77777777" w:rsidTr="002E3594">
        <w:trPr>
          <w:trHeight w:val="469"/>
          <w:jc w:val="center"/>
        </w:trPr>
        <w:tc>
          <w:tcPr>
            <w:tcW w:w="1278" w:type="dxa"/>
            <w:vAlign w:val="center"/>
          </w:tcPr>
          <w:p w14:paraId="34D8C7AA" w14:textId="77777777" w:rsidR="00ED582E" w:rsidRDefault="00ED582E" w:rsidP="00770D88">
            <w:pPr>
              <w:jc w:val="center"/>
            </w:pPr>
            <w:r>
              <w:t>Pansexual</w:t>
            </w:r>
          </w:p>
        </w:tc>
        <w:tc>
          <w:tcPr>
            <w:tcW w:w="8198" w:type="dxa"/>
            <w:vAlign w:val="center"/>
          </w:tcPr>
          <w:p w14:paraId="7B708D49" w14:textId="169D1BCF" w:rsidR="00ED582E" w:rsidRDefault="003F42C9" w:rsidP="00770D88">
            <w:pPr>
              <w:jc w:val="center"/>
            </w:pPr>
            <w:r>
              <w:t>5</w:t>
            </w:r>
          </w:p>
        </w:tc>
      </w:tr>
      <w:tr w:rsidR="00770D88" w14:paraId="21D96C43" w14:textId="77777777" w:rsidTr="002E3594">
        <w:trPr>
          <w:trHeight w:val="469"/>
          <w:jc w:val="center"/>
        </w:trPr>
        <w:tc>
          <w:tcPr>
            <w:tcW w:w="1278" w:type="dxa"/>
            <w:vAlign w:val="center"/>
          </w:tcPr>
          <w:p w14:paraId="35F57B56" w14:textId="77777777" w:rsidR="00ED582E" w:rsidRDefault="00ED582E" w:rsidP="00770D88">
            <w:pPr>
              <w:jc w:val="center"/>
            </w:pPr>
            <w:r>
              <w:t>Asexual</w:t>
            </w:r>
          </w:p>
        </w:tc>
        <w:tc>
          <w:tcPr>
            <w:tcW w:w="8198" w:type="dxa"/>
            <w:vAlign w:val="center"/>
          </w:tcPr>
          <w:p w14:paraId="25895D9F" w14:textId="24408ECC" w:rsidR="00ED582E" w:rsidRDefault="003F42C9" w:rsidP="00770D88">
            <w:pPr>
              <w:jc w:val="center"/>
            </w:pPr>
            <w:r>
              <w:t>6</w:t>
            </w:r>
          </w:p>
        </w:tc>
      </w:tr>
      <w:tr w:rsidR="00770D88" w14:paraId="15DFA0A1" w14:textId="77777777" w:rsidTr="002E3594">
        <w:trPr>
          <w:trHeight w:val="469"/>
          <w:jc w:val="center"/>
        </w:trPr>
        <w:tc>
          <w:tcPr>
            <w:tcW w:w="1278" w:type="dxa"/>
            <w:vAlign w:val="center"/>
          </w:tcPr>
          <w:p w14:paraId="2D1B1577" w14:textId="77777777" w:rsidR="00ED582E" w:rsidRDefault="00ED582E" w:rsidP="00770D88">
            <w:pPr>
              <w:jc w:val="center"/>
            </w:pPr>
            <w:r>
              <w:t>Straight</w:t>
            </w:r>
          </w:p>
        </w:tc>
        <w:tc>
          <w:tcPr>
            <w:tcW w:w="8198" w:type="dxa"/>
            <w:vAlign w:val="center"/>
          </w:tcPr>
          <w:p w14:paraId="031348E1" w14:textId="5BB2DD3B" w:rsidR="00ED582E" w:rsidRDefault="003F42C9" w:rsidP="00770D88">
            <w:pPr>
              <w:jc w:val="center"/>
            </w:pPr>
            <w:r>
              <w:t>4</w:t>
            </w:r>
          </w:p>
        </w:tc>
      </w:tr>
      <w:tr w:rsidR="00770D88" w14:paraId="2AB1A045" w14:textId="77777777" w:rsidTr="002E3594">
        <w:trPr>
          <w:trHeight w:val="469"/>
          <w:jc w:val="center"/>
        </w:trPr>
        <w:tc>
          <w:tcPr>
            <w:tcW w:w="1278" w:type="dxa"/>
            <w:vAlign w:val="center"/>
          </w:tcPr>
          <w:p w14:paraId="3F21FF81" w14:textId="77777777" w:rsidR="00ED582E" w:rsidRDefault="00ED582E" w:rsidP="00770D88">
            <w:pPr>
              <w:jc w:val="center"/>
            </w:pPr>
            <w:r>
              <w:t>Lesbian</w:t>
            </w:r>
          </w:p>
        </w:tc>
        <w:tc>
          <w:tcPr>
            <w:tcW w:w="8198" w:type="dxa"/>
            <w:vAlign w:val="center"/>
          </w:tcPr>
          <w:p w14:paraId="1653DF7E" w14:textId="77DE1851" w:rsidR="00ED582E" w:rsidRDefault="003F42C9" w:rsidP="00770D88">
            <w:pPr>
              <w:jc w:val="center"/>
            </w:pPr>
            <w:r>
              <w:t>1</w:t>
            </w:r>
          </w:p>
        </w:tc>
      </w:tr>
    </w:tbl>
    <w:p w14:paraId="7B5E3315" w14:textId="77777777" w:rsidR="00ED582E" w:rsidRDefault="00ED582E" w:rsidP="00ED582E"/>
    <w:p w14:paraId="67DA996C" w14:textId="77777777" w:rsidR="00ED582E" w:rsidRPr="00ED582E" w:rsidRDefault="00ED582E" w:rsidP="00ED582E">
      <w:pPr>
        <w:rPr>
          <w:b/>
        </w:rPr>
      </w:pPr>
      <w:r w:rsidRPr="00ED582E">
        <w:rPr>
          <w:b/>
        </w:rPr>
        <w:t>Definitions</w:t>
      </w:r>
    </w:p>
    <w:p w14:paraId="483CBA8C" w14:textId="77777777" w:rsidR="00ED582E" w:rsidRPr="002E3594" w:rsidRDefault="00ED582E" w:rsidP="00ED582E">
      <w:pPr>
        <w:pStyle w:val="ListParagraph"/>
        <w:numPr>
          <w:ilvl w:val="0"/>
          <w:numId w:val="6"/>
        </w:numPr>
        <w:rPr>
          <w:sz w:val="28"/>
        </w:rPr>
      </w:pPr>
      <w:r w:rsidRPr="002E3594">
        <w:rPr>
          <w:sz w:val="28"/>
        </w:rPr>
        <w:t>A person who identifies as a woman who is emotionally, romantically, or sexually attracted to other people who identify as women</w:t>
      </w:r>
    </w:p>
    <w:p w14:paraId="5CCD5F6E" w14:textId="77777777" w:rsidR="00ED582E" w:rsidRPr="002E3594" w:rsidRDefault="00ED582E" w:rsidP="00ED582E">
      <w:pPr>
        <w:pStyle w:val="ListParagraph"/>
        <w:numPr>
          <w:ilvl w:val="0"/>
          <w:numId w:val="6"/>
        </w:numPr>
        <w:rPr>
          <w:sz w:val="28"/>
        </w:rPr>
      </w:pPr>
      <w:r w:rsidRPr="002E3594">
        <w:rPr>
          <w:sz w:val="28"/>
        </w:rPr>
        <w:t>A person who is emotionally, romantically, or sexually attracted to some members of the same gender. Usually used by people who identify as male, although it can be used to describe anybody attracted to the same gender as themselves</w:t>
      </w:r>
    </w:p>
    <w:p w14:paraId="4DD2DF3E" w14:textId="5A964463" w:rsidR="00ED582E" w:rsidRPr="002E3594" w:rsidRDefault="00ED582E" w:rsidP="00ED582E">
      <w:pPr>
        <w:pStyle w:val="ListParagraph"/>
        <w:numPr>
          <w:ilvl w:val="0"/>
          <w:numId w:val="6"/>
        </w:numPr>
        <w:rPr>
          <w:sz w:val="28"/>
        </w:rPr>
      </w:pPr>
      <w:r w:rsidRPr="002E3594">
        <w:rPr>
          <w:sz w:val="28"/>
        </w:rPr>
        <w:t>A term some people use to identify themselves with a flexible and inclusive view of gender and/or sexuality. Can also be used as an umbrella term for the entire LGBTQ+ community. Historically, it has been used as a negative term for LGBTQ+ people. Some people, especially those of older generations, still find the term offensive while others embrace the term as an identity and</w:t>
      </w:r>
      <w:r w:rsidR="00770D88" w:rsidRPr="002E3594">
        <w:rPr>
          <w:sz w:val="28"/>
        </w:rPr>
        <w:t xml:space="preserve"> a reclaimed and empowered word</w:t>
      </w:r>
    </w:p>
    <w:p w14:paraId="2DCB3706" w14:textId="77777777" w:rsidR="00ED582E" w:rsidRPr="002E3594" w:rsidRDefault="00ED582E" w:rsidP="00ED582E">
      <w:pPr>
        <w:pStyle w:val="ListParagraph"/>
        <w:numPr>
          <w:ilvl w:val="0"/>
          <w:numId w:val="6"/>
        </w:numPr>
        <w:rPr>
          <w:sz w:val="28"/>
        </w:rPr>
      </w:pPr>
      <w:r w:rsidRPr="002E3594">
        <w:rPr>
          <w:sz w:val="28"/>
        </w:rPr>
        <w:t>A person of any gender who is emotionally, romantically, or sexually attracted to people of a different gender</w:t>
      </w:r>
    </w:p>
    <w:p w14:paraId="680AB16D" w14:textId="5AD1054A" w:rsidR="00ED582E" w:rsidRPr="002E3594" w:rsidRDefault="00ED582E" w:rsidP="00ED582E">
      <w:pPr>
        <w:pStyle w:val="ListParagraph"/>
        <w:numPr>
          <w:ilvl w:val="0"/>
          <w:numId w:val="6"/>
        </w:numPr>
        <w:rPr>
          <w:sz w:val="28"/>
        </w:rPr>
      </w:pPr>
      <w:r w:rsidRPr="002E3594">
        <w:rPr>
          <w:sz w:val="28"/>
        </w:rPr>
        <w:t>Someone of any gender who has the potential for romantic, emotional, or sexual attraction to people of any gender, though not necessarily simultaneously, in the same way, or to the same degree. Acknowledges the exis</w:t>
      </w:r>
      <w:r w:rsidR="00770D88" w:rsidRPr="002E3594">
        <w:rPr>
          <w:sz w:val="28"/>
        </w:rPr>
        <w:t>tence of more than two genders</w:t>
      </w:r>
    </w:p>
    <w:p w14:paraId="7D45910A" w14:textId="11E1342A" w:rsidR="00ED582E" w:rsidRPr="002E3594" w:rsidRDefault="00ED582E" w:rsidP="00ED582E">
      <w:pPr>
        <w:pStyle w:val="ListParagraph"/>
        <w:numPr>
          <w:ilvl w:val="0"/>
          <w:numId w:val="6"/>
        </w:numPr>
        <w:rPr>
          <w:sz w:val="28"/>
        </w:rPr>
      </w:pPr>
      <w:r w:rsidRPr="002E3594">
        <w:rPr>
          <w:sz w:val="28"/>
        </w:rPr>
        <w:t xml:space="preserve">A person of any gender who lacks sexual attraction </w:t>
      </w:r>
      <w:r w:rsidR="00770D88" w:rsidRPr="002E3594">
        <w:rPr>
          <w:sz w:val="28"/>
        </w:rPr>
        <w:t>or desire for other people</w:t>
      </w:r>
    </w:p>
    <w:p w14:paraId="7B75B0D1" w14:textId="3CD51985" w:rsidR="00ED582E" w:rsidRPr="002E3594" w:rsidRDefault="00ED582E" w:rsidP="00ED582E">
      <w:pPr>
        <w:pStyle w:val="ListParagraph"/>
        <w:numPr>
          <w:ilvl w:val="0"/>
          <w:numId w:val="6"/>
        </w:numPr>
        <w:rPr>
          <w:sz w:val="28"/>
        </w:rPr>
      </w:pPr>
      <w:r w:rsidRPr="002E3594">
        <w:rPr>
          <w:sz w:val="28"/>
        </w:rPr>
        <w:t>A person of any gender who is emotionally, romantically, or sexually attracted to people of more than one sex, gender expression, or gender identity, though not necessarily simultaneously, in the same way, or to the same degree</w:t>
      </w:r>
    </w:p>
    <w:p w14:paraId="32B96C04" w14:textId="77777777" w:rsidR="002E3594" w:rsidRDefault="002E3594" w:rsidP="007B1930"/>
    <w:p w14:paraId="3B391817" w14:textId="77777777" w:rsidR="002E3594" w:rsidRDefault="002E3594" w:rsidP="007B1930"/>
    <w:p w14:paraId="68D10F79" w14:textId="77777777" w:rsidR="002E3594" w:rsidRDefault="002E3594" w:rsidP="007B1930"/>
    <w:p w14:paraId="67AC2E53" w14:textId="77777777" w:rsidR="002E3594" w:rsidRDefault="002E3594" w:rsidP="007B1930"/>
    <w:p w14:paraId="40989434" w14:textId="2836320F" w:rsidR="00FE581D" w:rsidRDefault="00FE581D" w:rsidP="007B1930">
      <w:bookmarkStart w:id="0" w:name="_GoBack"/>
      <w:r w:rsidRPr="00FE581D">
        <w:rPr>
          <w:noProof/>
        </w:rPr>
        <w:drawing>
          <wp:anchor distT="0" distB="0" distL="114300" distR="114300" simplePos="0" relativeHeight="251658240" behindDoc="1" locked="0" layoutInCell="1" allowOverlap="1" wp14:anchorId="3230D6B2" wp14:editId="69705989">
            <wp:simplePos x="0" y="0"/>
            <wp:positionH relativeFrom="column">
              <wp:posOffset>381000</wp:posOffset>
            </wp:positionH>
            <wp:positionV relativeFrom="paragraph">
              <wp:posOffset>22860</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 &#10;What role does gender play in sexual orientation identity?&#10;Remember:&#10;Treating “everyone the same” erases the different needs of members of the LGBTQ+ community&#10;Sexual orientation &amp; gender identity and expression are interrelated concepts but are not the same or a cause-and-effect relation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bookmarkEnd w:id="0"/>
    </w:p>
    <w:p w14:paraId="493EF48E" w14:textId="77777777" w:rsidR="00FE581D" w:rsidRDefault="00FE581D" w:rsidP="007B1930"/>
    <w:p w14:paraId="12399E68" w14:textId="77777777" w:rsidR="00FE581D" w:rsidRDefault="00FE581D" w:rsidP="007B1930"/>
    <w:p w14:paraId="44310005" w14:textId="77777777" w:rsidR="00FE581D" w:rsidRDefault="00FE581D" w:rsidP="007B1930"/>
    <w:p w14:paraId="291DAC89" w14:textId="77777777" w:rsidR="00FE581D" w:rsidRDefault="00FE581D" w:rsidP="007B1930"/>
    <w:p w14:paraId="6CB954F3" w14:textId="77777777" w:rsidR="00FE581D" w:rsidRDefault="00FE581D" w:rsidP="007B1930"/>
    <w:p w14:paraId="2A116793" w14:textId="77777777" w:rsidR="00FE581D" w:rsidRDefault="00FE581D" w:rsidP="007B1930"/>
    <w:p w14:paraId="5DCE58D7" w14:textId="77777777" w:rsidR="00FE581D" w:rsidRDefault="00FE581D" w:rsidP="007B1930"/>
    <w:p w14:paraId="541977AB" w14:textId="77777777" w:rsidR="00FE581D" w:rsidRDefault="00FE581D" w:rsidP="007B1930"/>
    <w:p w14:paraId="4BE41413" w14:textId="77777777" w:rsidR="00FE581D" w:rsidRDefault="00FE581D" w:rsidP="007B1930"/>
    <w:p w14:paraId="6DB9699A" w14:textId="7010B45C" w:rsidR="007B1930" w:rsidRDefault="007B1930" w:rsidP="007B1930">
      <w:r>
        <w:t xml:space="preserve">References: </w:t>
      </w:r>
    </w:p>
    <w:p w14:paraId="079DFBBB" w14:textId="77777777" w:rsidR="00EC2BE1" w:rsidRDefault="00EC2BE1" w:rsidP="007B1930"/>
    <w:p w14:paraId="31B4835E" w14:textId="472CE90E" w:rsidR="002E3594" w:rsidRDefault="00EC2BE1" w:rsidP="002E3594">
      <w:pPr>
        <w:numPr>
          <w:ilvl w:val="0"/>
          <w:numId w:val="7"/>
        </w:numPr>
      </w:pPr>
      <w:r w:rsidRPr="007B1930">
        <w:t xml:space="preserve">Human Rights Campaign. “LGBTQ Definition for Adults: Welcoming Schools.” </w:t>
      </w:r>
      <w:r w:rsidRPr="007B1930">
        <w:rPr>
          <w:i/>
          <w:iCs/>
        </w:rPr>
        <w:t>Human Rights Campaign</w:t>
      </w:r>
      <w:r w:rsidRPr="007B1930">
        <w:t xml:space="preserve">, </w:t>
      </w:r>
      <w:hyperlink r:id="rId9" w:history="1">
        <w:r w:rsidR="002E3594">
          <w:rPr>
            <w:rStyle w:val="Hyperlink"/>
          </w:rPr>
          <w:t>URL to Source</w:t>
        </w:r>
      </w:hyperlink>
    </w:p>
    <w:p w14:paraId="342B32B9" w14:textId="5E802430" w:rsidR="00B51457" w:rsidRPr="002E3594" w:rsidRDefault="00C3468A" w:rsidP="002E3594">
      <w:pPr>
        <w:numPr>
          <w:ilvl w:val="0"/>
          <w:numId w:val="7"/>
        </w:numPr>
      </w:pPr>
      <w:proofErr w:type="spellStart"/>
      <w:r w:rsidRPr="002E3594">
        <w:t>Brawbaw</w:t>
      </w:r>
      <w:proofErr w:type="spellEnd"/>
      <w:r w:rsidRPr="002E3594">
        <w:t xml:space="preserve">, Kasandra. “Allosexual, </w:t>
      </w:r>
      <w:proofErr w:type="spellStart"/>
      <w:r w:rsidRPr="002E3594">
        <w:t>Demisexual</w:t>
      </w:r>
      <w:proofErr w:type="spellEnd"/>
      <w:r w:rsidRPr="002E3594">
        <w:t xml:space="preserve">, </w:t>
      </w:r>
      <w:proofErr w:type="spellStart"/>
      <w:r w:rsidRPr="002E3594">
        <w:t>Bicurious</w:t>
      </w:r>
      <w:proofErr w:type="spellEnd"/>
      <w:r w:rsidRPr="002E3594">
        <w:t xml:space="preserve"> </w:t>
      </w:r>
      <w:proofErr w:type="gramStart"/>
      <w:r w:rsidRPr="002E3594">
        <w:t>-  &amp;</w:t>
      </w:r>
      <w:proofErr w:type="gramEnd"/>
      <w:r w:rsidRPr="002E3594">
        <w:t xml:space="preserve"> Other Sexualities You Need to Know.” </w:t>
      </w:r>
      <w:r w:rsidRPr="002E3594">
        <w:rPr>
          <w:i/>
          <w:iCs/>
        </w:rPr>
        <w:t>Refinery 29</w:t>
      </w:r>
      <w:r w:rsidRPr="002E3594">
        <w:t xml:space="preserve">, 18 June 2019, </w:t>
      </w:r>
      <w:hyperlink r:id="rId10" w:history="1">
        <w:r w:rsidR="002E3594">
          <w:rPr>
            <w:rStyle w:val="Hyperlink"/>
          </w:rPr>
          <w:t>URL to Source</w:t>
        </w:r>
      </w:hyperlink>
    </w:p>
    <w:p w14:paraId="7845A5AA" w14:textId="05692854" w:rsidR="00B51457" w:rsidRPr="002E3594" w:rsidRDefault="00C3468A" w:rsidP="002E3594">
      <w:pPr>
        <w:numPr>
          <w:ilvl w:val="0"/>
          <w:numId w:val="7"/>
        </w:numPr>
      </w:pPr>
      <w:r w:rsidRPr="002E3594">
        <w:t xml:space="preserve">Brown, Eliza and Paula England. “Sexual orientation versus Behavior </w:t>
      </w:r>
      <w:r w:rsidRPr="002E3594">
        <w:rPr>
          <w:cs/>
          <w:lang w:bidi="mr-IN"/>
        </w:rPr>
        <w:t>–</w:t>
      </w:r>
      <w:r w:rsidRPr="002E3594">
        <w:t xml:space="preserve"> Different for Men and Women?” </w:t>
      </w:r>
      <w:r w:rsidRPr="002E3594">
        <w:rPr>
          <w:i/>
          <w:iCs/>
        </w:rPr>
        <w:t>Contexts.org</w:t>
      </w:r>
      <w:r w:rsidRPr="002E3594">
        <w:t xml:space="preserve">, 29 February 2016, </w:t>
      </w:r>
      <w:hyperlink r:id="rId11" w:history="1">
        <w:r w:rsidR="002E3594" w:rsidRPr="002E3594">
          <w:rPr>
            <w:rStyle w:val="Hyperlink"/>
          </w:rPr>
          <w:t>URL to Source</w:t>
        </w:r>
      </w:hyperlink>
    </w:p>
    <w:p w14:paraId="0F8309B8" w14:textId="77777777" w:rsidR="002E3594" w:rsidRPr="007B1930" w:rsidRDefault="002E3594" w:rsidP="002E3594">
      <w:pPr>
        <w:ind w:left="720"/>
      </w:pPr>
    </w:p>
    <w:p w14:paraId="23C1DB70" w14:textId="77777777" w:rsidR="007B1930" w:rsidRPr="00ED582E" w:rsidRDefault="007B1930" w:rsidP="007B1930"/>
    <w:sectPr w:rsidR="007B1930" w:rsidRPr="00ED582E" w:rsidSect="002E359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478B" w14:textId="77777777" w:rsidR="00751DBC" w:rsidRDefault="00751DBC" w:rsidP="002E3594">
      <w:r>
        <w:separator/>
      </w:r>
    </w:p>
  </w:endnote>
  <w:endnote w:type="continuationSeparator" w:id="0">
    <w:p w14:paraId="67C19E88" w14:textId="77777777" w:rsidR="00751DBC" w:rsidRDefault="00751DBC" w:rsidP="002E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CB8A" w14:textId="77777777" w:rsidR="00751DBC" w:rsidRDefault="00751DBC" w:rsidP="002E3594">
      <w:r>
        <w:separator/>
      </w:r>
    </w:p>
  </w:footnote>
  <w:footnote w:type="continuationSeparator" w:id="0">
    <w:p w14:paraId="78B29897" w14:textId="77777777" w:rsidR="00751DBC" w:rsidRDefault="00751DBC" w:rsidP="002E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3962" w14:textId="6C7550D7" w:rsidR="002E3594" w:rsidRPr="002E3594" w:rsidRDefault="002E3594" w:rsidP="002E3594">
    <w:pPr>
      <w:tabs>
        <w:tab w:val="center" w:pos="4680"/>
        <w:tab w:val="right" w:pos="9360"/>
      </w:tabs>
      <w:jc w:val="center"/>
      <w:rPr>
        <w:rFonts w:ascii="Calibri" w:eastAsia="Calibri" w:hAnsi="Calibri" w:cs="Times New Roman"/>
        <w:b/>
        <w:iCs/>
        <w:color w:val="2E74B5"/>
        <w:sz w:val="60"/>
        <w:szCs w:val="60"/>
      </w:rPr>
    </w:pPr>
    <w:r w:rsidRPr="002E3594">
      <w:rPr>
        <w:rFonts w:ascii="Calibri" w:eastAsia="Calibri" w:hAnsi="Calibri" w:cs="Times New Roman"/>
        <w:b/>
        <w:iCs/>
        <w:color w:val="2E74B5"/>
        <w:sz w:val="60"/>
        <w:szCs w:val="60"/>
      </w:rPr>
      <w:t>LGBT</w:t>
    </w:r>
    <w:r w:rsidR="0060770F">
      <w:rPr>
        <w:rFonts w:ascii="Calibri" w:eastAsia="Calibri" w:hAnsi="Calibri" w:cs="Times New Roman"/>
        <w:b/>
        <w:iCs/>
        <w:color w:val="2E74B5"/>
        <w:sz w:val="60"/>
        <w:szCs w:val="60"/>
      </w:rPr>
      <w:t>Q+</w:t>
    </w:r>
    <w:r w:rsidRPr="002E3594">
      <w:rPr>
        <w:rFonts w:ascii="Calibri" w:eastAsia="Calibri" w:hAnsi="Calibri" w:cs="Times New Roman"/>
        <w:b/>
        <w:iCs/>
        <w:color w:val="2E74B5"/>
        <w:sz w:val="60"/>
        <w:szCs w:val="60"/>
      </w:rPr>
      <w:t xml:space="preserve"> Module 1</w:t>
    </w:r>
    <w:r>
      <w:rPr>
        <w:rFonts w:ascii="Calibri" w:eastAsia="Calibri" w:hAnsi="Calibri" w:cs="Times New Roman"/>
        <w:b/>
        <w:iCs/>
        <w:color w:val="2E74B5"/>
        <w:sz w:val="60"/>
        <w:szCs w:val="60"/>
      </w:rPr>
      <w:t xml:space="preserve"> Key Concepts </w:t>
    </w:r>
    <w:r w:rsidRPr="002E3594">
      <w:rPr>
        <w:rFonts w:ascii="Calibri" w:eastAsia="Calibri" w:hAnsi="Calibri" w:cs="Times New Roman"/>
        <w:b/>
        <w:iCs/>
        <w:color w:val="2E74B5"/>
        <w:sz w:val="60"/>
        <w:szCs w:val="60"/>
      </w:rPr>
      <w:t>Handout</w:t>
    </w:r>
    <w:r w:rsidR="003F42C9">
      <w:rPr>
        <w:rFonts w:ascii="Calibri" w:eastAsia="Calibri" w:hAnsi="Calibri" w:cs="Times New Roman"/>
        <w:b/>
        <w:iCs/>
        <w:color w:val="2E74B5"/>
        <w:sz w:val="60"/>
        <w:szCs w:val="60"/>
      </w:rPr>
      <w:t xml:space="preserve"> Answer Key</w:t>
    </w:r>
  </w:p>
  <w:p w14:paraId="7EA8FFF8" w14:textId="77777777" w:rsidR="002E3594" w:rsidRDefault="002E3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C5A"/>
    <w:multiLevelType w:val="hybridMultilevel"/>
    <w:tmpl w:val="936AAC52"/>
    <w:lvl w:ilvl="0" w:tplc="6FBC0C86">
      <w:start w:val="1"/>
      <w:numFmt w:val="decimal"/>
      <w:lvlText w:val="%1."/>
      <w:lvlJc w:val="left"/>
      <w:pPr>
        <w:tabs>
          <w:tab w:val="num" w:pos="720"/>
        </w:tabs>
        <w:ind w:left="720" w:hanging="360"/>
      </w:pPr>
    </w:lvl>
    <w:lvl w:ilvl="1" w:tplc="B79A4648" w:tentative="1">
      <w:start w:val="1"/>
      <w:numFmt w:val="decimal"/>
      <w:lvlText w:val="%2."/>
      <w:lvlJc w:val="left"/>
      <w:pPr>
        <w:tabs>
          <w:tab w:val="num" w:pos="1440"/>
        </w:tabs>
        <w:ind w:left="1440" w:hanging="360"/>
      </w:pPr>
    </w:lvl>
    <w:lvl w:ilvl="2" w:tplc="BBF2B1F2" w:tentative="1">
      <w:start w:val="1"/>
      <w:numFmt w:val="decimal"/>
      <w:lvlText w:val="%3."/>
      <w:lvlJc w:val="left"/>
      <w:pPr>
        <w:tabs>
          <w:tab w:val="num" w:pos="2160"/>
        </w:tabs>
        <w:ind w:left="2160" w:hanging="360"/>
      </w:pPr>
    </w:lvl>
    <w:lvl w:ilvl="3" w:tplc="0460253C" w:tentative="1">
      <w:start w:val="1"/>
      <w:numFmt w:val="decimal"/>
      <w:lvlText w:val="%4."/>
      <w:lvlJc w:val="left"/>
      <w:pPr>
        <w:tabs>
          <w:tab w:val="num" w:pos="2880"/>
        </w:tabs>
        <w:ind w:left="2880" w:hanging="360"/>
      </w:pPr>
    </w:lvl>
    <w:lvl w:ilvl="4" w:tplc="EFAE9FE2" w:tentative="1">
      <w:start w:val="1"/>
      <w:numFmt w:val="decimal"/>
      <w:lvlText w:val="%5."/>
      <w:lvlJc w:val="left"/>
      <w:pPr>
        <w:tabs>
          <w:tab w:val="num" w:pos="3600"/>
        </w:tabs>
        <w:ind w:left="3600" w:hanging="360"/>
      </w:pPr>
    </w:lvl>
    <w:lvl w:ilvl="5" w:tplc="2EB8A7C0" w:tentative="1">
      <w:start w:val="1"/>
      <w:numFmt w:val="decimal"/>
      <w:lvlText w:val="%6."/>
      <w:lvlJc w:val="left"/>
      <w:pPr>
        <w:tabs>
          <w:tab w:val="num" w:pos="4320"/>
        </w:tabs>
        <w:ind w:left="4320" w:hanging="360"/>
      </w:pPr>
    </w:lvl>
    <w:lvl w:ilvl="6" w:tplc="213C8624" w:tentative="1">
      <w:start w:val="1"/>
      <w:numFmt w:val="decimal"/>
      <w:lvlText w:val="%7."/>
      <w:lvlJc w:val="left"/>
      <w:pPr>
        <w:tabs>
          <w:tab w:val="num" w:pos="5040"/>
        </w:tabs>
        <w:ind w:left="5040" w:hanging="360"/>
      </w:pPr>
    </w:lvl>
    <w:lvl w:ilvl="7" w:tplc="A76EAC48" w:tentative="1">
      <w:start w:val="1"/>
      <w:numFmt w:val="decimal"/>
      <w:lvlText w:val="%8."/>
      <w:lvlJc w:val="left"/>
      <w:pPr>
        <w:tabs>
          <w:tab w:val="num" w:pos="5760"/>
        </w:tabs>
        <w:ind w:left="5760" w:hanging="360"/>
      </w:pPr>
    </w:lvl>
    <w:lvl w:ilvl="8" w:tplc="E970FF04" w:tentative="1">
      <w:start w:val="1"/>
      <w:numFmt w:val="decimal"/>
      <w:lvlText w:val="%9."/>
      <w:lvlJc w:val="left"/>
      <w:pPr>
        <w:tabs>
          <w:tab w:val="num" w:pos="6480"/>
        </w:tabs>
        <w:ind w:left="6480" w:hanging="360"/>
      </w:pPr>
    </w:lvl>
  </w:abstractNum>
  <w:abstractNum w:abstractNumId="1" w15:restartNumberingAfterBreak="0">
    <w:nsid w:val="11E66A83"/>
    <w:multiLevelType w:val="hybridMultilevel"/>
    <w:tmpl w:val="DEDE8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269D4"/>
    <w:multiLevelType w:val="hybridMultilevel"/>
    <w:tmpl w:val="61EE7BDA"/>
    <w:lvl w:ilvl="0" w:tplc="D3E80574">
      <w:start w:val="1"/>
      <w:numFmt w:val="bullet"/>
      <w:lvlText w:val="•"/>
      <w:lvlJc w:val="left"/>
      <w:pPr>
        <w:tabs>
          <w:tab w:val="num" w:pos="720"/>
        </w:tabs>
        <w:ind w:left="720" w:hanging="360"/>
      </w:pPr>
      <w:rPr>
        <w:rFonts w:ascii="Arial" w:hAnsi="Arial" w:hint="default"/>
      </w:rPr>
    </w:lvl>
    <w:lvl w:ilvl="1" w:tplc="8D8A9204">
      <w:numFmt w:val="bullet"/>
      <w:lvlText w:val="–"/>
      <w:lvlJc w:val="left"/>
      <w:pPr>
        <w:tabs>
          <w:tab w:val="num" w:pos="1440"/>
        </w:tabs>
        <w:ind w:left="1440" w:hanging="360"/>
      </w:pPr>
      <w:rPr>
        <w:rFonts w:ascii="Arial" w:hAnsi="Arial" w:hint="default"/>
      </w:rPr>
    </w:lvl>
    <w:lvl w:ilvl="2" w:tplc="0A64E1F0" w:tentative="1">
      <w:start w:val="1"/>
      <w:numFmt w:val="bullet"/>
      <w:lvlText w:val="•"/>
      <w:lvlJc w:val="left"/>
      <w:pPr>
        <w:tabs>
          <w:tab w:val="num" w:pos="2160"/>
        </w:tabs>
        <w:ind w:left="2160" w:hanging="360"/>
      </w:pPr>
      <w:rPr>
        <w:rFonts w:ascii="Arial" w:hAnsi="Arial" w:hint="default"/>
      </w:rPr>
    </w:lvl>
    <w:lvl w:ilvl="3" w:tplc="3F9CCC0E" w:tentative="1">
      <w:start w:val="1"/>
      <w:numFmt w:val="bullet"/>
      <w:lvlText w:val="•"/>
      <w:lvlJc w:val="left"/>
      <w:pPr>
        <w:tabs>
          <w:tab w:val="num" w:pos="2880"/>
        </w:tabs>
        <w:ind w:left="2880" w:hanging="360"/>
      </w:pPr>
      <w:rPr>
        <w:rFonts w:ascii="Arial" w:hAnsi="Arial" w:hint="default"/>
      </w:rPr>
    </w:lvl>
    <w:lvl w:ilvl="4" w:tplc="B18E1EDC" w:tentative="1">
      <w:start w:val="1"/>
      <w:numFmt w:val="bullet"/>
      <w:lvlText w:val="•"/>
      <w:lvlJc w:val="left"/>
      <w:pPr>
        <w:tabs>
          <w:tab w:val="num" w:pos="3600"/>
        </w:tabs>
        <w:ind w:left="3600" w:hanging="360"/>
      </w:pPr>
      <w:rPr>
        <w:rFonts w:ascii="Arial" w:hAnsi="Arial" w:hint="default"/>
      </w:rPr>
    </w:lvl>
    <w:lvl w:ilvl="5" w:tplc="3E908C6E" w:tentative="1">
      <w:start w:val="1"/>
      <w:numFmt w:val="bullet"/>
      <w:lvlText w:val="•"/>
      <w:lvlJc w:val="left"/>
      <w:pPr>
        <w:tabs>
          <w:tab w:val="num" w:pos="4320"/>
        </w:tabs>
        <w:ind w:left="4320" w:hanging="360"/>
      </w:pPr>
      <w:rPr>
        <w:rFonts w:ascii="Arial" w:hAnsi="Arial" w:hint="default"/>
      </w:rPr>
    </w:lvl>
    <w:lvl w:ilvl="6" w:tplc="CEC0101E" w:tentative="1">
      <w:start w:val="1"/>
      <w:numFmt w:val="bullet"/>
      <w:lvlText w:val="•"/>
      <w:lvlJc w:val="left"/>
      <w:pPr>
        <w:tabs>
          <w:tab w:val="num" w:pos="5040"/>
        </w:tabs>
        <w:ind w:left="5040" w:hanging="360"/>
      </w:pPr>
      <w:rPr>
        <w:rFonts w:ascii="Arial" w:hAnsi="Arial" w:hint="default"/>
      </w:rPr>
    </w:lvl>
    <w:lvl w:ilvl="7" w:tplc="9F88C0CA" w:tentative="1">
      <w:start w:val="1"/>
      <w:numFmt w:val="bullet"/>
      <w:lvlText w:val="•"/>
      <w:lvlJc w:val="left"/>
      <w:pPr>
        <w:tabs>
          <w:tab w:val="num" w:pos="5760"/>
        </w:tabs>
        <w:ind w:left="5760" w:hanging="360"/>
      </w:pPr>
      <w:rPr>
        <w:rFonts w:ascii="Arial" w:hAnsi="Arial" w:hint="default"/>
      </w:rPr>
    </w:lvl>
    <w:lvl w:ilvl="8" w:tplc="84E279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25827"/>
    <w:multiLevelType w:val="hybridMultilevel"/>
    <w:tmpl w:val="570015EA"/>
    <w:lvl w:ilvl="0" w:tplc="0B786A48">
      <w:start w:val="1"/>
      <w:numFmt w:val="bullet"/>
      <w:lvlText w:val="•"/>
      <w:lvlJc w:val="left"/>
      <w:pPr>
        <w:tabs>
          <w:tab w:val="num" w:pos="720"/>
        </w:tabs>
        <w:ind w:left="720" w:hanging="360"/>
      </w:pPr>
      <w:rPr>
        <w:rFonts w:ascii="Arial" w:hAnsi="Arial" w:hint="default"/>
      </w:rPr>
    </w:lvl>
    <w:lvl w:ilvl="1" w:tplc="AF54D58E">
      <w:numFmt w:val="bullet"/>
      <w:lvlText w:val="–"/>
      <w:lvlJc w:val="left"/>
      <w:pPr>
        <w:tabs>
          <w:tab w:val="num" w:pos="1440"/>
        </w:tabs>
        <w:ind w:left="1440" w:hanging="360"/>
      </w:pPr>
      <w:rPr>
        <w:rFonts w:ascii="Arial" w:hAnsi="Arial" w:hint="default"/>
      </w:rPr>
    </w:lvl>
    <w:lvl w:ilvl="2" w:tplc="56F46718" w:tentative="1">
      <w:start w:val="1"/>
      <w:numFmt w:val="bullet"/>
      <w:lvlText w:val="•"/>
      <w:lvlJc w:val="left"/>
      <w:pPr>
        <w:tabs>
          <w:tab w:val="num" w:pos="2160"/>
        </w:tabs>
        <w:ind w:left="2160" w:hanging="360"/>
      </w:pPr>
      <w:rPr>
        <w:rFonts w:ascii="Arial" w:hAnsi="Arial" w:hint="default"/>
      </w:rPr>
    </w:lvl>
    <w:lvl w:ilvl="3" w:tplc="8AAEA3FC" w:tentative="1">
      <w:start w:val="1"/>
      <w:numFmt w:val="bullet"/>
      <w:lvlText w:val="•"/>
      <w:lvlJc w:val="left"/>
      <w:pPr>
        <w:tabs>
          <w:tab w:val="num" w:pos="2880"/>
        </w:tabs>
        <w:ind w:left="2880" w:hanging="360"/>
      </w:pPr>
      <w:rPr>
        <w:rFonts w:ascii="Arial" w:hAnsi="Arial" w:hint="default"/>
      </w:rPr>
    </w:lvl>
    <w:lvl w:ilvl="4" w:tplc="9CEC90EE" w:tentative="1">
      <w:start w:val="1"/>
      <w:numFmt w:val="bullet"/>
      <w:lvlText w:val="•"/>
      <w:lvlJc w:val="left"/>
      <w:pPr>
        <w:tabs>
          <w:tab w:val="num" w:pos="3600"/>
        </w:tabs>
        <w:ind w:left="3600" w:hanging="360"/>
      </w:pPr>
      <w:rPr>
        <w:rFonts w:ascii="Arial" w:hAnsi="Arial" w:hint="default"/>
      </w:rPr>
    </w:lvl>
    <w:lvl w:ilvl="5" w:tplc="84868342" w:tentative="1">
      <w:start w:val="1"/>
      <w:numFmt w:val="bullet"/>
      <w:lvlText w:val="•"/>
      <w:lvlJc w:val="left"/>
      <w:pPr>
        <w:tabs>
          <w:tab w:val="num" w:pos="4320"/>
        </w:tabs>
        <w:ind w:left="4320" w:hanging="360"/>
      </w:pPr>
      <w:rPr>
        <w:rFonts w:ascii="Arial" w:hAnsi="Arial" w:hint="default"/>
      </w:rPr>
    </w:lvl>
    <w:lvl w:ilvl="6" w:tplc="1E74A8B2" w:tentative="1">
      <w:start w:val="1"/>
      <w:numFmt w:val="bullet"/>
      <w:lvlText w:val="•"/>
      <w:lvlJc w:val="left"/>
      <w:pPr>
        <w:tabs>
          <w:tab w:val="num" w:pos="5040"/>
        </w:tabs>
        <w:ind w:left="5040" w:hanging="360"/>
      </w:pPr>
      <w:rPr>
        <w:rFonts w:ascii="Arial" w:hAnsi="Arial" w:hint="default"/>
      </w:rPr>
    </w:lvl>
    <w:lvl w:ilvl="7" w:tplc="3F06582E" w:tentative="1">
      <w:start w:val="1"/>
      <w:numFmt w:val="bullet"/>
      <w:lvlText w:val="•"/>
      <w:lvlJc w:val="left"/>
      <w:pPr>
        <w:tabs>
          <w:tab w:val="num" w:pos="5760"/>
        </w:tabs>
        <w:ind w:left="5760" w:hanging="360"/>
      </w:pPr>
      <w:rPr>
        <w:rFonts w:ascii="Arial" w:hAnsi="Arial" w:hint="default"/>
      </w:rPr>
    </w:lvl>
    <w:lvl w:ilvl="8" w:tplc="56349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412FF"/>
    <w:multiLevelType w:val="hybridMultilevel"/>
    <w:tmpl w:val="CD6E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2618C"/>
    <w:multiLevelType w:val="hybridMultilevel"/>
    <w:tmpl w:val="2AF43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70D19"/>
    <w:multiLevelType w:val="hybridMultilevel"/>
    <w:tmpl w:val="57EA1B78"/>
    <w:lvl w:ilvl="0" w:tplc="3A06467E">
      <w:start w:val="1"/>
      <w:numFmt w:val="decimal"/>
      <w:lvlText w:val="%1."/>
      <w:lvlJc w:val="left"/>
      <w:pPr>
        <w:tabs>
          <w:tab w:val="num" w:pos="720"/>
        </w:tabs>
        <w:ind w:left="720" w:hanging="360"/>
      </w:pPr>
    </w:lvl>
    <w:lvl w:ilvl="1" w:tplc="B31A5B00" w:tentative="1">
      <w:start w:val="1"/>
      <w:numFmt w:val="decimal"/>
      <w:lvlText w:val="%2."/>
      <w:lvlJc w:val="left"/>
      <w:pPr>
        <w:tabs>
          <w:tab w:val="num" w:pos="1440"/>
        </w:tabs>
        <w:ind w:left="1440" w:hanging="360"/>
      </w:pPr>
    </w:lvl>
    <w:lvl w:ilvl="2" w:tplc="9FB2082C" w:tentative="1">
      <w:start w:val="1"/>
      <w:numFmt w:val="decimal"/>
      <w:lvlText w:val="%3."/>
      <w:lvlJc w:val="left"/>
      <w:pPr>
        <w:tabs>
          <w:tab w:val="num" w:pos="2160"/>
        </w:tabs>
        <w:ind w:left="2160" w:hanging="360"/>
      </w:pPr>
    </w:lvl>
    <w:lvl w:ilvl="3" w:tplc="C03EA050" w:tentative="1">
      <w:start w:val="1"/>
      <w:numFmt w:val="decimal"/>
      <w:lvlText w:val="%4."/>
      <w:lvlJc w:val="left"/>
      <w:pPr>
        <w:tabs>
          <w:tab w:val="num" w:pos="2880"/>
        </w:tabs>
        <w:ind w:left="2880" w:hanging="360"/>
      </w:pPr>
    </w:lvl>
    <w:lvl w:ilvl="4" w:tplc="8FDEE154" w:tentative="1">
      <w:start w:val="1"/>
      <w:numFmt w:val="decimal"/>
      <w:lvlText w:val="%5."/>
      <w:lvlJc w:val="left"/>
      <w:pPr>
        <w:tabs>
          <w:tab w:val="num" w:pos="3600"/>
        </w:tabs>
        <w:ind w:left="3600" w:hanging="360"/>
      </w:pPr>
    </w:lvl>
    <w:lvl w:ilvl="5" w:tplc="CEFA03A2" w:tentative="1">
      <w:start w:val="1"/>
      <w:numFmt w:val="decimal"/>
      <w:lvlText w:val="%6."/>
      <w:lvlJc w:val="left"/>
      <w:pPr>
        <w:tabs>
          <w:tab w:val="num" w:pos="4320"/>
        </w:tabs>
        <w:ind w:left="4320" w:hanging="360"/>
      </w:pPr>
    </w:lvl>
    <w:lvl w:ilvl="6" w:tplc="DD549736" w:tentative="1">
      <w:start w:val="1"/>
      <w:numFmt w:val="decimal"/>
      <w:lvlText w:val="%7."/>
      <w:lvlJc w:val="left"/>
      <w:pPr>
        <w:tabs>
          <w:tab w:val="num" w:pos="5040"/>
        </w:tabs>
        <w:ind w:left="5040" w:hanging="360"/>
      </w:pPr>
    </w:lvl>
    <w:lvl w:ilvl="7" w:tplc="8A7E8236" w:tentative="1">
      <w:start w:val="1"/>
      <w:numFmt w:val="decimal"/>
      <w:lvlText w:val="%8."/>
      <w:lvlJc w:val="left"/>
      <w:pPr>
        <w:tabs>
          <w:tab w:val="num" w:pos="5760"/>
        </w:tabs>
        <w:ind w:left="5760" w:hanging="360"/>
      </w:pPr>
    </w:lvl>
    <w:lvl w:ilvl="8" w:tplc="B9E65ECE" w:tentative="1">
      <w:start w:val="1"/>
      <w:numFmt w:val="decimal"/>
      <w:lvlText w:val="%9."/>
      <w:lvlJc w:val="left"/>
      <w:pPr>
        <w:tabs>
          <w:tab w:val="num" w:pos="6480"/>
        </w:tabs>
        <w:ind w:left="6480" w:hanging="360"/>
      </w:pPr>
    </w:lvl>
  </w:abstractNum>
  <w:abstractNum w:abstractNumId="7" w15:restartNumberingAfterBreak="0">
    <w:nsid w:val="7CD42707"/>
    <w:multiLevelType w:val="hybridMultilevel"/>
    <w:tmpl w:val="00A65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B7"/>
    <w:rsid w:val="0004382B"/>
    <w:rsid w:val="001B4DCE"/>
    <w:rsid w:val="00250E09"/>
    <w:rsid w:val="002A4EFD"/>
    <w:rsid w:val="002E3594"/>
    <w:rsid w:val="003D2187"/>
    <w:rsid w:val="003F42C9"/>
    <w:rsid w:val="004C6EB7"/>
    <w:rsid w:val="00591B18"/>
    <w:rsid w:val="00605075"/>
    <w:rsid w:val="0060770F"/>
    <w:rsid w:val="00751DBC"/>
    <w:rsid w:val="00770D88"/>
    <w:rsid w:val="007A23DF"/>
    <w:rsid w:val="007B1930"/>
    <w:rsid w:val="009D2493"/>
    <w:rsid w:val="00A4433F"/>
    <w:rsid w:val="00AE4265"/>
    <w:rsid w:val="00B51457"/>
    <w:rsid w:val="00B65C58"/>
    <w:rsid w:val="00B94F5B"/>
    <w:rsid w:val="00C3468A"/>
    <w:rsid w:val="00CD5AED"/>
    <w:rsid w:val="00E54C75"/>
    <w:rsid w:val="00EC2BE1"/>
    <w:rsid w:val="00ED582E"/>
    <w:rsid w:val="00FE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09A72"/>
  <w14:defaultImageDpi w14:val="300"/>
  <w15:docId w15:val="{0FF2F21D-642A-4461-99FF-6406717F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82E"/>
    <w:pPr>
      <w:ind w:left="720"/>
      <w:contextualSpacing/>
    </w:pPr>
  </w:style>
  <w:style w:type="table" w:styleId="TableGrid">
    <w:name w:val="Table Grid"/>
    <w:basedOn w:val="TableNormal"/>
    <w:uiPriority w:val="59"/>
    <w:rsid w:val="00ED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594"/>
    <w:pPr>
      <w:tabs>
        <w:tab w:val="center" w:pos="4680"/>
        <w:tab w:val="right" w:pos="9360"/>
      </w:tabs>
    </w:pPr>
  </w:style>
  <w:style w:type="character" w:customStyle="1" w:styleId="HeaderChar">
    <w:name w:val="Header Char"/>
    <w:basedOn w:val="DefaultParagraphFont"/>
    <w:link w:val="Header"/>
    <w:uiPriority w:val="99"/>
    <w:rsid w:val="002E3594"/>
  </w:style>
  <w:style w:type="paragraph" w:styleId="Footer">
    <w:name w:val="footer"/>
    <w:basedOn w:val="Normal"/>
    <w:link w:val="FooterChar"/>
    <w:uiPriority w:val="99"/>
    <w:unhideWhenUsed/>
    <w:rsid w:val="002E3594"/>
    <w:pPr>
      <w:tabs>
        <w:tab w:val="center" w:pos="4680"/>
        <w:tab w:val="right" w:pos="9360"/>
      </w:tabs>
    </w:pPr>
  </w:style>
  <w:style w:type="character" w:customStyle="1" w:styleId="FooterChar">
    <w:name w:val="Footer Char"/>
    <w:basedOn w:val="DefaultParagraphFont"/>
    <w:link w:val="Footer"/>
    <w:uiPriority w:val="99"/>
    <w:rsid w:val="002E3594"/>
  </w:style>
  <w:style w:type="character" w:styleId="Hyperlink">
    <w:name w:val="Hyperlink"/>
    <w:basedOn w:val="DefaultParagraphFont"/>
    <w:uiPriority w:val="99"/>
    <w:unhideWhenUsed/>
    <w:rsid w:val="002E3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3186">
      <w:bodyDiv w:val="1"/>
      <w:marLeft w:val="0"/>
      <w:marRight w:val="0"/>
      <w:marTop w:val="0"/>
      <w:marBottom w:val="0"/>
      <w:divBdr>
        <w:top w:val="none" w:sz="0" w:space="0" w:color="auto"/>
        <w:left w:val="none" w:sz="0" w:space="0" w:color="auto"/>
        <w:bottom w:val="none" w:sz="0" w:space="0" w:color="auto"/>
        <w:right w:val="none" w:sz="0" w:space="0" w:color="auto"/>
      </w:divBdr>
      <w:divsChild>
        <w:div w:id="843134663">
          <w:marLeft w:val="806"/>
          <w:marRight w:val="0"/>
          <w:marTop w:val="144"/>
          <w:marBottom w:val="0"/>
          <w:divBdr>
            <w:top w:val="none" w:sz="0" w:space="0" w:color="auto"/>
            <w:left w:val="none" w:sz="0" w:space="0" w:color="auto"/>
            <w:bottom w:val="none" w:sz="0" w:space="0" w:color="auto"/>
            <w:right w:val="none" w:sz="0" w:space="0" w:color="auto"/>
          </w:divBdr>
        </w:div>
      </w:divsChild>
    </w:div>
    <w:div w:id="269051140">
      <w:bodyDiv w:val="1"/>
      <w:marLeft w:val="0"/>
      <w:marRight w:val="0"/>
      <w:marTop w:val="0"/>
      <w:marBottom w:val="0"/>
      <w:divBdr>
        <w:top w:val="none" w:sz="0" w:space="0" w:color="auto"/>
        <w:left w:val="none" w:sz="0" w:space="0" w:color="auto"/>
        <w:bottom w:val="none" w:sz="0" w:space="0" w:color="auto"/>
        <w:right w:val="none" w:sz="0" w:space="0" w:color="auto"/>
      </w:divBdr>
      <w:divsChild>
        <w:div w:id="2045861468">
          <w:marLeft w:val="547"/>
          <w:marRight w:val="0"/>
          <w:marTop w:val="96"/>
          <w:marBottom w:val="0"/>
          <w:divBdr>
            <w:top w:val="none" w:sz="0" w:space="0" w:color="auto"/>
            <w:left w:val="none" w:sz="0" w:space="0" w:color="auto"/>
            <w:bottom w:val="none" w:sz="0" w:space="0" w:color="auto"/>
            <w:right w:val="none" w:sz="0" w:space="0" w:color="auto"/>
          </w:divBdr>
        </w:div>
        <w:div w:id="246039408">
          <w:marLeft w:val="1166"/>
          <w:marRight w:val="0"/>
          <w:marTop w:val="86"/>
          <w:marBottom w:val="0"/>
          <w:divBdr>
            <w:top w:val="none" w:sz="0" w:space="0" w:color="auto"/>
            <w:left w:val="none" w:sz="0" w:space="0" w:color="auto"/>
            <w:bottom w:val="none" w:sz="0" w:space="0" w:color="auto"/>
            <w:right w:val="none" w:sz="0" w:space="0" w:color="auto"/>
          </w:divBdr>
        </w:div>
        <w:div w:id="1591499010">
          <w:marLeft w:val="547"/>
          <w:marRight w:val="0"/>
          <w:marTop w:val="96"/>
          <w:marBottom w:val="0"/>
          <w:divBdr>
            <w:top w:val="none" w:sz="0" w:space="0" w:color="auto"/>
            <w:left w:val="none" w:sz="0" w:space="0" w:color="auto"/>
            <w:bottom w:val="none" w:sz="0" w:space="0" w:color="auto"/>
            <w:right w:val="none" w:sz="0" w:space="0" w:color="auto"/>
          </w:divBdr>
        </w:div>
        <w:div w:id="533730121">
          <w:marLeft w:val="1166"/>
          <w:marRight w:val="0"/>
          <w:marTop w:val="86"/>
          <w:marBottom w:val="0"/>
          <w:divBdr>
            <w:top w:val="none" w:sz="0" w:space="0" w:color="auto"/>
            <w:left w:val="none" w:sz="0" w:space="0" w:color="auto"/>
            <w:bottom w:val="none" w:sz="0" w:space="0" w:color="auto"/>
            <w:right w:val="none" w:sz="0" w:space="0" w:color="auto"/>
          </w:divBdr>
        </w:div>
        <w:div w:id="1719668347">
          <w:marLeft w:val="547"/>
          <w:marRight w:val="0"/>
          <w:marTop w:val="96"/>
          <w:marBottom w:val="0"/>
          <w:divBdr>
            <w:top w:val="none" w:sz="0" w:space="0" w:color="auto"/>
            <w:left w:val="none" w:sz="0" w:space="0" w:color="auto"/>
            <w:bottom w:val="none" w:sz="0" w:space="0" w:color="auto"/>
            <w:right w:val="none" w:sz="0" w:space="0" w:color="auto"/>
          </w:divBdr>
        </w:div>
        <w:div w:id="266156543">
          <w:marLeft w:val="1166"/>
          <w:marRight w:val="0"/>
          <w:marTop w:val="86"/>
          <w:marBottom w:val="0"/>
          <w:divBdr>
            <w:top w:val="none" w:sz="0" w:space="0" w:color="auto"/>
            <w:left w:val="none" w:sz="0" w:space="0" w:color="auto"/>
            <w:bottom w:val="none" w:sz="0" w:space="0" w:color="auto"/>
            <w:right w:val="none" w:sz="0" w:space="0" w:color="auto"/>
          </w:divBdr>
        </w:div>
        <w:div w:id="555119529">
          <w:marLeft w:val="547"/>
          <w:marRight w:val="0"/>
          <w:marTop w:val="96"/>
          <w:marBottom w:val="0"/>
          <w:divBdr>
            <w:top w:val="none" w:sz="0" w:space="0" w:color="auto"/>
            <w:left w:val="none" w:sz="0" w:space="0" w:color="auto"/>
            <w:bottom w:val="none" w:sz="0" w:space="0" w:color="auto"/>
            <w:right w:val="none" w:sz="0" w:space="0" w:color="auto"/>
          </w:divBdr>
        </w:div>
        <w:div w:id="1789203538">
          <w:marLeft w:val="1166"/>
          <w:marRight w:val="0"/>
          <w:marTop w:val="86"/>
          <w:marBottom w:val="0"/>
          <w:divBdr>
            <w:top w:val="none" w:sz="0" w:space="0" w:color="auto"/>
            <w:left w:val="none" w:sz="0" w:space="0" w:color="auto"/>
            <w:bottom w:val="none" w:sz="0" w:space="0" w:color="auto"/>
            <w:right w:val="none" w:sz="0" w:space="0" w:color="auto"/>
          </w:divBdr>
        </w:div>
      </w:divsChild>
    </w:div>
    <w:div w:id="1306398561">
      <w:bodyDiv w:val="1"/>
      <w:marLeft w:val="0"/>
      <w:marRight w:val="0"/>
      <w:marTop w:val="0"/>
      <w:marBottom w:val="0"/>
      <w:divBdr>
        <w:top w:val="none" w:sz="0" w:space="0" w:color="auto"/>
        <w:left w:val="none" w:sz="0" w:space="0" w:color="auto"/>
        <w:bottom w:val="none" w:sz="0" w:space="0" w:color="auto"/>
        <w:right w:val="none" w:sz="0" w:space="0" w:color="auto"/>
      </w:divBdr>
      <w:divsChild>
        <w:div w:id="694188617">
          <w:marLeft w:val="547"/>
          <w:marRight w:val="0"/>
          <w:marTop w:val="96"/>
          <w:marBottom w:val="0"/>
          <w:divBdr>
            <w:top w:val="none" w:sz="0" w:space="0" w:color="auto"/>
            <w:left w:val="none" w:sz="0" w:space="0" w:color="auto"/>
            <w:bottom w:val="none" w:sz="0" w:space="0" w:color="auto"/>
            <w:right w:val="none" w:sz="0" w:space="0" w:color="auto"/>
          </w:divBdr>
        </w:div>
        <w:div w:id="358089501">
          <w:marLeft w:val="1166"/>
          <w:marRight w:val="0"/>
          <w:marTop w:val="86"/>
          <w:marBottom w:val="0"/>
          <w:divBdr>
            <w:top w:val="none" w:sz="0" w:space="0" w:color="auto"/>
            <w:left w:val="none" w:sz="0" w:space="0" w:color="auto"/>
            <w:bottom w:val="none" w:sz="0" w:space="0" w:color="auto"/>
            <w:right w:val="none" w:sz="0" w:space="0" w:color="auto"/>
          </w:divBdr>
        </w:div>
        <w:div w:id="2133207511">
          <w:marLeft w:val="547"/>
          <w:marRight w:val="0"/>
          <w:marTop w:val="96"/>
          <w:marBottom w:val="0"/>
          <w:divBdr>
            <w:top w:val="none" w:sz="0" w:space="0" w:color="auto"/>
            <w:left w:val="none" w:sz="0" w:space="0" w:color="auto"/>
            <w:bottom w:val="none" w:sz="0" w:space="0" w:color="auto"/>
            <w:right w:val="none" w:sz="0" w:space="0" w:color="auto"/>
          </w:divBdr>
        </w:div>
        <w:div w:id="1500391920">
          <w:marLeft w:val="1166"/>
          <w:marRight w:val="0"/>
          <w:marTop w:val="86"/>
          <w:marBottom w:val="0"/>
          <w:divBdr>
            <w:top w:val="none" w:sz="0" w:space="0" w:color="auto"/>
            <w:left w:val="none" w:sz="0" w:space="0" w:color="auto"/>
            <w:bottom w:val="none" w:sz="0" w:space="0" w:color="auto"/>
            <w:right w:val="none" w:sz="0" w:space="0" w:color="auto"/>
          </w:divBdr>
        </w:div>
        <w:div w:id="1667904662">
          <w:marLeft w:val="547"/>
          <w:marRight w:val="0"/>
          <w:marTop w:val="96"/>
          <w:marBottom w:val="0"/>
          <w:divBdr>
            <w:top w:val="none" w:sz="0" w:space="0" w:color="auto"/>
            <w:left w:val="none" w:sz="0" w:space="0" w:color="auto"/>
            <w:bottom w:val="none" w:sz="0" w:space="0" w:color="auto"/>
            <w:right w:val="none" w:sz="0" w:space="0" w:color="auto"/>
          </w:divBdr>
        </w:div>
        <w:div w:id="940182287">
          <w:marLeft w:val="1166"/>
          <w:marRight w:val="0"/>
          <w:marTop w:val="86"/>
          <w:marBottom w:val="0"/>
          <w:divBdr>
            <w:top w:val="none" w:sz="0" w:space="0" w:color="auto"/>
            <w:left w:val="none" w:sz="0" w:space="0" w:color="auto"/>
            <w:bottom w:val="none" w:sz="0" w:space="0" w:color="auto"/>
            <w:right w:val="none" w:sz="0" w:space="0" w:color="auto"/>
          </w:divBdr>
        </w:div>
      </w:divsChild>
    </w:div>
    <w:div w:id="1893693971">
      <w:bodyDiv w:val="1"/>
      <w:marLeft w:val="0"/>
      <w:marRight w:val="0"/>
      <w:marTop w:val="0"/>
      <w:marBottom w:val="0"/>
      <w:divBdr>
        <w:top w:val="none" w:sz="0" w:space="0" w:color="auto"/>
        <w:left w:val="none" w:sz="0" w:space="0" w:color="auto"/>
        <w:bottom w:val="none" w:sz="0" w:space="0" w:color="auto"/>
        <w:right w:val="none" w:sz="0" w:space="0" w:color="auto"/>
      </w:divBdr>
      <w:divsChild>
        <w:div w:id="58093563">
          <w:marLeft w:val="806"/>
          <w:marRight w:val="0"/>
          <w:marTop w:val="200"/>
          <w:marBottom w:val="0"/>
          <w:divBdr>
            <w:top w:val="none" w:sz="0" w:space="0" w:color="auto"/>
            <w:left w:val="none" w:sz="0" w:space="0" w:color="auto"/>
            <w:bottom w:val="none" w:sz="0" w:space="0" w:color="auto"/>
            <w:right w:val="none" w:sz="0" w:space="0" w:color="auto"/>
          </w:divBdr>
        </w:div>
        <w:div w:id="2082290321">
          <w:marLeft w:val="80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s.org/blog/sexual-orientation-versus-behavior-different-for-men-and-women/" TargetMode="External"/><Relationship Id="rId5" Type="http://schemas.openxmlformats.org/officeDocument/2006/relationships/webSettings" Target="webSettings.xml"/><Relationship Id="rId10" Type="http://schemas.openxmlformats.org/officeDocument/2006/relationships/hyperlink" Target="https://www.refinery29.com/en-us/sexual-orientation-types-of-sexualities" TargetMode="External"/><Relationship Id="rId4" Type="http://schemas.openxmlformats.org/officeDocument/2006/relationships/settings" Target="settings.xml"/><Relationship Id="rId9" Type="http://schemas.openxmlformats.org/officeDocument/2006/relationships/hyperlink" Target="http://www.welcomingschools.org/resources/definitions/definitions-for-adul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7313B5-2C34-4CBF-AD0B-ABD8C03C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Ranck</dc:creator>
  <cp:keywords/>
  <dc:description/>
  <cp:lastModifiedBy>Seger, Erin</cp:lastModifiedBy>
  <cp:revision>5</cp:revision>
  <dcterms:created xsi:type="dcterms:W3CDTF">2019-11-15T16:49:00Z</dcterms:created>
  <dcterms:modified xsi:type="dcterms:W3CDTF">2019-11-21T00:04:00Z</dcterms:modified>
</cp:coreProperties>
</file>