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55A1" w14:textId="77777777" w:rsidR="00EE5441" w:rsidRDefault="00EE5441" w:rsidP="006E5A5E">
      <w:pPr>
        <w:spacing w:line="288" w:lineRule="auto"/>
        <w:ind w:firstLine="360"/>
        <w:rPr>
          <w:b/>
          <w:sz w:val="28"/>
          <w:szCs w:val="28"/>
        </w:rPr>
      </w:pPr>
    </w:p>
    <w:p w14:paraId="6B9C8D4E" w14:textId="17F7A23A" w:rsidR="001C041E" w:rsidRPr="001C041E" w:rsidRDefault="007F3C7A" w:rsidP="006E5A5E">
      <w:pPr>
        <w:spacing w:line="288" w:lineRule="auto"/>
        <w:ind w:firstLine="360"/>
        <w:rPr>
          <w:b/>
          <w:sz w:val="28"/>
          <w:szCs w:val="28"/>
        </w:rPr>
      </w:pPr>
      <w:r>
        <w:rPr>
          <w:b/>
          <w:sz w:val="28"/>
          <w:szCs w:val="28"/>
        </w:rPr>
        <w:t>Cultural Humility History</w:t>
      </w:r>
    </w:p>
    <w:p w14:paraId="3B63D6CD" w14:textId="7C04F264" w:rsidR="007F3C7A" w:rsidRDefault="007F3C7A" w:rsidP="007A781E">
      <w:pPr>
        <w:spacing w:line="288" w:lineRule="auto"/>
        <w:ind w:left="360"/>
        <w:rPr>
          <w:sz w:val="28"/>
          <w:szCs w:val="28"/>
        </w:rPr>
      </w:pPr>
      <w:r>
        <w:rPr>
          <w:sz w:val="28"/>
          <w:szCs w:val="28"/>
        </w:rPr>
        <w:t xml:space="preserve">Dr. Melanie </w:t>
      </w:r>
      <w:proofErr w:type="spellStart"/>
      <w:r>
        <w:rPr>
          <w:sz w:val="28"/>
          <w:szCs w:val="28"/>
        </w:rPr>
        <w:t>Tervalon</w:t>
      </w:r>
      <w:proofErr w:type="spellEnd"/>
      <w:r>
        <w:rPr>
          <w:sz w:val="28"/>
          <w:szCs w:val="28"/>
        </w:rPr>
        <w:t xml:space="preserve"> and Dr. </w:t>
      </w:r>
      <w:proofErr w:type="spellStart"/>
      <w:r>
        <w:rPr>
          <w:sz w:val="28"/>
          <w:szCs w:val="28"/>
        </w:rPr>
        <w:t>Jann</w:t>
      </w:r>
      <w:proofErr w:type="spellEnd"/>
      <w:r>
        <w:rPr>
          <w:sz w:val="28"/>
          <w:szCs w:val="28"/>
        </w:rPr>
        <w:t xml:space="preserve"> Murray-Garcia developed cultural humility in the 1990’s to address growing diversity in the United States and their belief that __________________ _________________ between a patie</w:t>
      </w:r>
      <w:r w:rsidR="0056789D">
        <w:rPr>
          <w:sz w:val="28"/>
          <w:szCs w:val="28"/>
        </w:rPr>
        <w:t>nt and a provider compromise car</w:t>
      </w:r>
      <w:bookmarkStart w:id="0" w:name="_GoBack"/>
      <w:bookmarkEnd w:id="0"/>
      <w:r>
        <w:rPr>
          <w:sz w:val="28"/>
          <w:szCs w:val="28"/>
        </w:rPr>
        <w:t>e.</w:t>
      </w:r>
      <w:r w:rsidRPr="007F3C7A">
        <w:rPr>
          <w:sz w:val="28"/>
          <w:szCs w:val="28"/>
          <w:vertAlign w:val="superscript"/>
        </w:rPr>
        <w:t xml:space="preserve">1 </w:t>
      </w:r>
    </w:p>
    <w:p w14:paraId="016C3017" w14:textId="4B9F0DBC" w:rsidR="007A781E" w:rsidRDefault="007F3C7A" w:rsidP="007A781E">
      <w:pPr>
        <w:spacing w:line="288" w:lineRule="auto"/>
        <w:ind w:left="360"/>
        <w:rPr>
          <w:b/>
          <w:sz w:val="28"/>
          <w:szCs w:val="28"/>
        </w:rPr>
      </w:pPr>
      <w:r>
        <w:rPr>
          <w:b/>
          <w:sz w:val="28"/>
          <w:szCs w:val="28"/>
        </w:rPr>
        <w:t>Health Disparities</w:t>
      </w:r>
    </w:p>
    <w:p w14:paraId="3C2CAAE5" w14:textId="5C050A3E" w:rsidR="007F3C7A" w:rsidRDefault="007F3C7A" w:rsidP="007F3C7A">
      <w:pPr>
        <w:spacing w:line="288" w:lineRule="auto"/>
        <w:ind w:left="360"/>
        <w:rPr>
          <w:sz w:val="28"/>
          <w:szCs w:val="28"/>
        </w:rPr>
      </w:pPr>
      <w:r>
        <w:rPr>
          <w:noProof/>
        </w:rPr>
        <mc:AlternateContent>
          <mc:Choice Requires="wps">
            <w:drawing>
              <wp:anchor distT="45720" distB="45720" distL="114300" distR="114300" simplePos="0" relativeHeight="251661312" behindDoc="0" locked="0" layoutInCell="1" allowOverlap="1" wp14:anchorId="7F8A97EE" wp14:editId="0B7ED1B8">
                <wp:simplePos x="0" y="0"/>
                <wp:positionH relativeFrom="column">
                  <wp:posOffset>3048000</wp:posOffset>
                </wp:positionH>
                <wp:positionV relativeFrom="paragraph">
                  <wp:posOffset>711835</wp:posOffset>
                </wp:positionV>
                <wp:extent cx="3543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noFill/>
                          <a:miter lim="800000"/>
                          <a:headEnd/>
                          <a:tailEnd/>
                        </a:ln>
                      </wps:spPr>
                      <wps:txbx>
                        <w:txbxContent>
                          <w:p w14:paraId="39786803" w14:textId="0AE8049C"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Latinos/ Hispanics</w:t>
                            </w:r>
                          </w:p>
                          <w:p w14:paraId="5B3AFAB4"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Members of the LGBTQIA community</w:t>
                            </w:r>
                          </w:p>
                          <w:p w14:paraId="00B0AD67"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Native Americans</w:t>
                            </w:r>
                          </w:p>
                          <w:p w14:paraId="14F8EC03"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People who are overweight</w:t>
                            </w:r>
                          </w:p>
                          <w:p w14:paraId="2C82ED48"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Prisoners</w:t>
                            </w:r>
                          </w:p>
                          <w:p w14:paraId="35D5BF5B"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Some religious minorities</w:t>
                            </w:r>
                          </w:p>
                          <w:p w14:paraId="5736ED25" w14:textId="508768B0"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Women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A97EE" id="_x0000_t202" coordsize="21600,21600" o:spt="202" path="m,l,21600r21600,l21600,xe">
                <v:stroke joinstyle="miter"/>
                <v:path gradientshapeok="t" o:connecttype="rect"/>
              </v:shapetype>
              <v:shape id="Text Box 2" o:spid="_x0000_s1026" type="#_x0000_t202" style="position:absolute;left:0;text-align:left;margin-left:240pt;margin-top:56.05pt;width:27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" stroked="f">
                <v:textbox style="mso-fit-shape-to-text:t">
                  <w:txbxContent>
                    <w:p w14:paraId="39786803" w14:textId="0AE8049C"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Latinos/ Hispanics</w:t>
                      </w:r>
                    </w:p>
                    <w:p w14:paraId="5B3AFAB4"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Members of the LGBTQIA community</w:t>
                      </w:r>
                    </w:p>
                    <w:p w14:paraId="00B0AD67"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Native Americans</w:t>
                      </w:r>
                    </w:p>
                    <w:p w14:paraId="14F8EC03"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People who are overweight</w:t>
                      </w:r>
                    </w:p>
                    <w:p w14:paraId="2C82ED48"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Prisoners</w:t>
                      </w:r>
                    </w:p>
                    <w:p w14:paraId="35D5BF5B"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Some religious minorities</w:t>
                      </w:r>
                    </w:p>
                    <w:p w14:paraId="5736ED25" w14:textId="508768B0"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Women</w:t>
                      </w:r>
                    </w:p>
                  </w:txbxContent>
                </v:textbox>
                <w10:wrap type="square"/>
              </v:shape>
            </w:pict>
          </mc:Fallback>
        </mc:AlternateContent>
      </w:r>
      <w:r w:rsidRPr="007F3C7A">
        <w:rPr>
          <w:noProof/>
        </w:rPr>
        <mc:AlternateContent>
          <mc:Choice Requires="wps">
            <w:drawing>
              <wp:anchor distT="0" distB="0" distL="114300" distR="114300" simplePos="0" relativeHeight="251659264" behindDoc="0" locked="0" layoutInCell="1" allowOverlap="1" wp14:anchorId="3D3245B6" wp14:editId="3DEDD506">
                <wp:simplePos x="0" y="0"/>
                <wp:positionH relativeFrom="page">
                  <wp:posOffset>952500</wp:posOffset>
                </wp:positionH>
                <wp:positionV relativeFrom="paragraph">
                  <wp:posOffset>730885</wp:posOffset>
                </wp:positionV>
                <wp:extent cx="2695575" cy="1400175"/>
                <wp:effectExtent l="0" t="0" r="0" b="9525"/>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69557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4AC0"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szCs w:val="24"/>
                              </w:rPr>
                            </w:pPr>
                            <w:r w:rsidRPr="007F3C7A">
                              <w:rPr>
                                <w:rFonts w:hAnsi="Calibri"/>
                                <w:color w:val="000000" w:themeColor="text1"/>
                                <w:kern w:val="24"/>
                                <w:sz w:val="28"/>
                                <w:szCs w:val="50"/>
                              </w:rPr>
                              <w:t>African Americans</w:t>
                            </w:r>
                          </w:p>
                          <w:p w14:paraId="13E75F20"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Appalachian poor</w:t>
                            </w:r>
                          </w:p>
                          <w:p w14:paraId="2E390B05"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Asian Americans</w:t>
                            </w:r>
                          </w:p>
                          <w:p w14:paraId="5D6881BA"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Elders</w:t>
                            </w:r>
                          </w:p>
                          <w:p w14:paraId="0D459E48"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Immigrants and refugees</w:t>
                            </w:r>
                          </w:p>
                          <w:p w14:paraId="42D5DE3D"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 xml:space="preserve">Individuals with disabilities </w:t>
                            </w:r>
                          </w:p>
                          <w:p w14:paraId="7D52353A" w14:textId="7A54D2EF" w:rsidR="007F3C7A" w:rsidRPr="007F3C7A" w:rsidRDefault="007F3C7A" w:rsidP="007F3C7A">
                            <w:pPr>
                              <w:kinsoku w:val="0"/>
                              <w:overflowPunct w:val="0"/>
                              <w:spacing w:after="0" w:line="216" w:lineRule="auto"/>
                              <w:textAlignment w:val="baseline"/>
                              <w:rPr>
                                <w:rFonts w:eastAsia="Times New Roman"/>
                                <w:sz w:val="28"/>
                              </w:rPr>
                            </w:pPr>
                          </w:p>
                        </w:txbxContent>
                      </wps:txbx>
                      <wps:bodyPr vert="horz" wrap="square" lIns="91440" tIns="45720" rIns="91440" bIns="45720" numCol="2"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45B6" id="Content Placeholder 2" o:spid="_x0000_s1027" style="position:absolute;left:0;text-align:left;margin-left:75pt;margin-top:57.55pt;width:212.25pt;height:11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" filled="f" stroked="f">
                <v:path arrowok="t"/>
                <o:lock v:ext="edit" grouping="t"/>
                <v:textbox>
                  <w:txbxContent>
                    <w:p w14:paraId="1BD34AC0"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szCs w:val="24"/>
                        </w:rPr>
                      </w:pPr>
                      <w:r w:rsidRPr="007F3C7A">
                        <w:rPr>
                          <w:rFonts w:hAnsi="Calibri"/>
                          <w:color w:val="000000" w:themeColor="text1"/>
                          <w:kern w:val="24"/>
                          <w:sz w:val="28"/>
                          <w:szCs w:val="50"/>
                        </w:rPr>
                        <w:t>African Americans</w:t>
                      </w:r>
                    </w:p>
                    <w:p w14:paraId="13E75F20"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Appalachian poor</w:t>
                      </w:r>
                    </w:p>
                    <w:p w14:paraId="2E390B05"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Asian Americans</w:t>
                      </w:r>
                    </w:p>
                    <w:p w14:paraId="5D6881BA"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Elders</w:t>
                      </w:r>
                    </w:p>
                    <w:p w14:paraId="0D459E48"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Immigrants and refugees</w:t>
                      </w:r>
                    </w:p>
                    <w:p w14:paraId="42D5DE3D" w14:textId="77777777" w:rsidR="007F3C7A" w:rsidRPr="007F3C7A" w:rsidRDefault="007F3C7A" w:rsidP="007F3C7A">
                      <w:pPr>
                        <w:pStyle w:val="ListParagraph"/>
                        <w:numPr>
                          <w:ilvl w:val="0"/>
                          <w:numId w:val="10"/>
                        </w:numPr>
                        <w:kinsoku w:val="0"/>
                        <w:overflowPunct w:val="0"/>
                        <w:spacing w:after="0" w:line="216" w:lineRule="auto"/>
                        <w:textAlignment w:val="baseline"/>
                        <w:rPr>
                          <w:rFonts w:eastAsia="Times New Roman"/>
                          <w:sz w:val="28"/>
                        </w:rPr>
                      </w:pPr>
                      <w:r w:rsidRPr="007F3C7A">
                        <w:rPr>
                          <w:rFonts w:hAnsi="Calibri"/>
                          <w:color w:val="000000" w:themeColor="text1"/>
                          <w:kern w:val="24"/>
                          <w:sz w:val="28"/>
                          <w:szCs w:val="50"/>
                        </w:rPr>
                        <w:t xml:space="preserve">Individuals with disabilities </w:t>
                      </w:r>
                    </w:p>
                    <w:p w14:paraId="7D52353A" w14:textId="7A54D2EF" w:rsidR="007F3C7A" w:rsidRPr="007F3C7A" w:rsidRDefault="007F3C7A" w:rsidP="007F3C7A">
                      <w:pPr>
                        <w:kinsoku w:val="0"/>
                        <w:overflowPunct w:val="0"/>
                        <w:spacing w:after="0" w:line="216" w:lineRule="auto"/>
                        <w:textAlignment w:val="baseline"/>
                        <w:rPr>
                          <w:rFonts w:eastAsia="Times New Roman"/>
                          <w:sz w:val="28"/>
                        </w:rPr>
                      </w:pPr>
                    </w:p>
                  </w:txbxContent>
                </v:textbox>
                <w10:wrap anchorx="page"/>
              </v:rect>
            </w:pict>
          </mc:Fallback>
        </mc:AlternateContent>
      </w:r>
      <w:r w:rsidRPr="007F3C7A">
        <w:rPr>
          <w:sz w:val="28"/>
          <w:szCs w:val="28"/>
        </w:rPr>
        <w:t>In 2003, The Institute of Medicine documented lower quality care for racial and ethnic minorities. The report defined other segments of the population receiving disparate care</w:t>
      </w:r>
      <w:r w:rsidRPr="007F3C7A">
        <w:rPr>
          <w:sz w:val="28"/>
          <w:szCs w:val="28"/>
          <w:vertAlign w:val="superscript"/>
        </w:rPr>
        <w:t>2</w:t>
      </w:r>
      <w:proofErr w:type="gramStart"/>
      <w:r w:rsidRPr="007F3C7A">
        <w:rPr>
          <w:sz w:val="28"/>
          <w:szCs w:val="28"/>
          <w:vertAlign w:val="superscript"/>
        </w:rPr>
        <w:t>,3</w:t>
      </w:r>
      <w:proofErr w:type="gramEnd"/>
      <w:r w:rsidRPr="007F3C7A">
        <w:rPr>
          <w:sz w:val="28"/>
          <w:szCs w:val="28"/>
        </w:rPr>
        <w:t>, including:</w:t>
      </w:r>
    </w:p>
    <w:p w14:paraId="5526EF1F" w14:textId="109070E9" w:rsidR="007F3C7A" w:rsidRDefault="007F3C7A" w:rsidP="007F3C7A">
      <w:pPr>
        <w:spacing w:line="288" w:lineRule="auto"/>
        <w:ind w:left="360"/>
        <w:rPr>
          <w:sz w:val="28"/>
          <w:szCs w:val="28"/>
        </w:rPr>
      </w:pPr>
    </w:p>
    <w:p w14:paraId="0BDC41E9" w14:textId="692E091F" w:rsidR="007F3C7A" w:rsidRDefault="007F3C7A" w:rsidP="007F3C7A">
      <w:pPr>
        <w:spacing w:line="360" w:lineRule="auto"/>
        <w:ind w:left="360"/>
        <w:rPr>
          <w:b/>
          <w:sz w:val="28"/>
          <w:szCs w:val="28"/>
        </w:rPr>
      </w:pPr>
    </w:p>
    <w:p w14:paraId="4682EC30" w14:textId="4866E5C2" w:rsidR="007F3C7A" w:rsidRPr="007F3C7A" w:rsidRDefault="007F3C7A" w:rsidP="007F3C7A">
      <w:pPr>
        <w:spacing w:line="360" w:lineRule="auto"/>
        <w:rPr>
          <w:b/>
          <w:sz w:val="18"/>
          <w:szCs w:val="18"/>
        </w:rPr>
      </w:pPr>
    </w:p>
    <w:p w14:paraId="5C9B4514" w14:textId="77777777" w:rsidR="007F3C7A" w:rsidRPr="007F3C7A" w:rsidRDefault="007F3C7A" w:rsidP="007F3C7A">
      <w:pPr>
        <w:spacing w:line="360" w:lineRule="auto"/>
        <w:ind w:left="360"/>
        <w:rPr>
          <w:b/>
          <w:sz w:val="10"/>
          <w:szCs w:val="10"/>
        </w:rPr>
      </w:pPr>
    </w:p>
    <w:p w14:paraId="064F5164" w14:textId="2E891945" w:rsidR="007F3C7A" w:rsidRPr="007F3C7A" w:rsidRDefault="007F3C7A" w:rsidP="007F3C7A">
      <w:pPr>
        <w:spacing w:line="360" w:lineRule="auto"/>
        <w:ind w:left="360"/>
        <w:rPr>
          <w:b/>
          <w:sz w:val="28"/>
          <w:szCs w:val="28"/>
        </w:rPr>
      </w:pPr>
      <w:r w:rsidRPr="007F3C7A">
        <w:rPr>
          <w:b/>
          <w:sz w:val="28"/>
          <w:szCs w:val="28"/>
        </w:rPr>
        <w:t>Unconscious Bias</w:t>
      </w:r>
    </w:p>
    <w:p w14:paraId="68E4FFE3" w14:textId="568B572D" w:rsidR="00F53BB3" w:rsidRPr="007F3C7A" w:rsidRDefault="00FF769F" w:rsidP="007F3C7A">
      <w:pPr>
        <w:pStyle w:val="ListParagraph"/>
        <w:numPr>
          <w:ilvl w:val="0"/>
          <w:numId w:val="11"/>
        </w:numPr>
        <w:rPr>
          <w:sz w:val="28"/>
        </w:rPr>
      </w:pPr>
      <w:r w:rsidRPr="007F3C7A">
        <w:rPr>
          <w:sz w:val="28"/>
        </w:rPr>
        <w:t xml:space="preserve">Research strongly suggests that </w:t>
      </w:r>
      <w:r w:rsidR="007F3C7A" w:rsidRPr="007F3C7A">
        <w:rPr>
          <w:bCs/>
          <w:sz w:val="28"/>
        </w:rPr>
        <w:t>___________</w:t>
      </w:r>
      <w:r w:rsidR="007F3C7A">
        <w:rPr>
          <w:bCs/>
          <w:sz w:val="28"/>
        </w:rPr>
        <w:t>____</w:t>
      </w:r>
      <w:r w:rsidR="007F3C7A" w:rsidRPr="007F3C7A">
        <w:rPr>
          <w:bCs/>
          <w:sz w:val="28"/>
        </w:rPr>
        <w:t>______</w:t>
      </w:r>
      <w:r w:rsidRPr="007F3C7A">
        <w:rPr>
          <w:bCs/>
          <w:sz w:val="28"/>
        </w:rPr>
        <w:t>, biases are one of the reasons that disparities in health care persist.</w:t>
      </w:r>
      <w:r w:rsidRPr="007F3C7A">
        <w:rPr>
          <w:bCs/>
          <w:sz w:val="28"/>
          <w:vertAlign w:val="superscript"/>
        </w:rPr>
        <w:t>4</w:t>
      </w:r>
    </w:p>
    <w:p w14:paraId="69947E3D" w14:textId="087C870C" w:rsidR="007F3C7A" w:rsidRPr="007F3C7A" w:rsidRDefault="00FF769F" w:rsidP="007F3C7A">
      <w:pPr>
        <w:pStyle w:val="ListParagraph"/>
        <w:numPr>
          <w:ilvl w:val="0"/>
          <w:numId w:val="11"/>
        </w:numPr>
        <w:rPr>
          <w:sz w:val="28"/>
        </w:rPr>
      </w:pPr>
      <w:r w:rsidRPr="007F3C7A">
        <w:rPr>
          <w:sz w:val="28"/>
        </w:rPr>
        <w:t xml:space="preserve">It is more likely that unconscious bias will come into play when someone is stressed, tired or </w:t>
      </w:r>
      <w:r w:rsidR="007F3C7A">
        <w:rPr>
          <w:sz w:val="28"/>
        </w:rPr>
        <w:t>_____________________</w:t>
      </w:r>
      <w:r w:rsidRPr="007F3C7A">
        <w:rPr>
          <w:sz w:val="28"/>
        </w:rPr>
        <w:t>.</w:t>
      </w:r>
      <w:r w:rsidRPr="007F3C7A">
        <w:rPr>
          <w:sz w:val="28"/>
          <w:vertAlign w:val="superscript"/>
        </w:rPr>
        <w:t>2,4</w:t>
      </w:r>
    </w:p>
    <w:p w14:paraId="2C557CD3" w14:textId="77777777" w:rsidR="007F3C7A" w:rsidRPr="007F3C7A" w:rsidRDefault="007F3C7A" w:rsidP="007F3C7A">
      <w:pPr>
        <w:pStyle w:val="ListParagraph"/>
        <w:rPr>
          <w:sz w:val="28"/>
        </w:rPr>
      </w:pPr>
    </w:p>
    <w:p w14:paraId="7DC64A04" w14:textId="2C52F80A" w:rsidR="007F3C7A" w:rsidRPr="007F3C7A" w:rsidRDefault="007F3C7A" w:rsidP="007F3C7A">
      <w:pPr>
        <w:spacing w:line="360" w:lineRule="auto"/>
        <w:ind w:left="360"/>
        <w:rPr>
          <w:b/>
          <w:sz w:val="28"/>
          <w:szCs w:val="28"/>
        </w:rPr>
      </w:pPr>
      <w:r>
        <w:rPr>
          <w:b/>
          <w:sz w:val="28"/>
          <w:szCs w:val="28"/>
        </w:rPr>
        <w:t xml:space="preserve">Counteracting </w:t>
      </w:r>
      <w:r w:rsidRPr="007F3C7A">
        <w:rPr>
          <w:b/>
          <w:sz w:val="28"/>
          <w:szCs w:val="28"/>
        </w:rPr>
        <w:t>Unconscious Bias</w:t>
      </w:r>
    </w:p>
    <w:p w14:paraId="176BCF4A" w14:textId="5F4D9EF2" w:rsidR="007F3C7A" w:rsidRPr="007F3C7A" w:rsidRDefault="007F3C7A" w:rsidP="007F3C7A">
      <w:pPr>
        <w:ind w:left="360"/>
        <w:rPr>
          <w:sz w:val="28"/>
        </w:rPr>
      </w:pPr>
      <w:r w:rsidRPr="007F3C7A">
        <w:rPr>
          <w:sz w:val="28"/>
        </w:rPr>
        <w:t xml:space="preserve">“Counteracting unconscious bias requires awareness, introspection, authenticity, </w:t>
      </w:r>
      <w:r w:rsidRPr="007F3C7A">
        <w:rPr>
          <w:bCs/>
          <w:sz w:val="28"/>
        </w:rPr>
        <w:t>_</w:t>
      </w:r>
      <w:r>
        <w:rPr>
          <w:bCs/>
          <w:sz w:val="28"/>
        </w:rPr>
        <w:t>_______</w:t>
      </w:r>
      <w:r w:rsidRPr="007F3C7A">
        <w:rPr>
          <w:bCs/>
          <w:sz w:val="28"/>
        </w:rPr>
        <w:t>__________</w:t>
      </w:r>
      <w:r w:rsidRPr="007F3C7A">
        <w:rPr>
          <w:sz w:val="28"/>
        </w:rPr>
        <w:t xml:space="preserve"> compassion, communication, and a willingness to act.”</w:t>
      </w:r>
      <w:r w:rsidRPr="007F3C7A">
        <w:rPr>
          <w:sz w:val="28"/>
          <w:vertAlign w:val="superscript"/>
        </w:rPr>
        <w:t>2</w:t>
      </w:r>
    </w:p>
    <w:p w14:paraId="407A4D3B" w14:textId="77777777" w:rsidR="007F3C7A" w:rsidRDefault="007F3C7A" w:rsidP="001A4350">
      <w:pPr>
        <w:pStyle w:val="ListParagraph"/>
      </w:pPr>
    </w:p>
    <w:p w14:paraId="4DA67361" w14:textId="2BFF3801" w:rsidR="00E71116" w:rsidRDefault="00EE5441" w:rsidP="001F081A">
      <w:pPr>
        <w:pStyle w:val="ListParagraph"/>
        <w:jc w:val="center"/>
      </w:pPr>
      <w:r w:rsidRPr="00EE5441">
        <w:rPr>
          <w:noProof/>
        </w:rPr>
        <w:lastRenderedPageBreak/>
        <w:drawing>
          <wp:anchor distT="0" distB="0" distL="114300" distR="114300" simplePos="0" relativeHeight="251662336" behindDoc="1" locked="0" layoutInCell="1" allowOverlap="1" wp14:anchorId="49C74E02" wp14:editId="1C073A62">
            <wp:simplePos x="0" y="0"/>
            <wp:positionH relativeFrom="margin">
              <wp:align>center</wp:align>
            </wp:positionH>
            <wp:positionV relativeFrom="paragraph">
              <wp:posOffset>19050</wp:posOffset>
            </wp:positionV>
            <wp:extent cx="6096851" cy="3429479"/>
            <wp:effectExtent l="19050" t="19050" r="18415" b="19050"/>
            <wp:wrapTight wrapText="bothSides">
              <wp:wrapPolygon edited="0">
                <wp:start x="-67" y="-120"/>
                <wp:lineTo x="-67" y="21600"/>
                <wp:lineTo x="21598" y="21600"/>
                <wp:lineTo x="21598" y="-120"/>
                <wp:lineTo x="-67" y="-120"/>
              </wp:wrapPolygon>
            </wp:wrapTight>
            <wp:docPr id="1" name="Picture 1" descr="Consider: &#10;What are ways you have seen implicit bias affect health c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96851" cy="3429479"/>
                    </a:xfrm>
                    <a:prstGeom prst="rect">
                      <a:avLst/>
                    </a:prstGeom>
                    <a:ln>
                      <a:solidFill>
                        <a:srgbClr val="000000"/>
                      </a:solidFill>
                    </a:ln>
                  </pic:spPr>
                </pic:pic>
              </a:graphicData>
            </a:graphic>
          </wp:anchor>
        </w:drawing>
      </w:r>
    </w:p>
    <w:p w14:paraId="7EF56DBA" w14:textId="6AADA200" w:rsidR="00EE5441" w:rsidRDefault="00EE5441" w:rsidP="009E33E0"/>
    <w:p w14:paraId="3F264035" w14:textId="36FDC599" w:rsidR="00EE5441" w:rsidRDefault="00EE5441" w:rsidP="009E33E0"/>
    <w:p w14:paraId="1BF9B305" w14:textId="6C5146A1" w:rsidR="00EE5441" w:rsidRDefault="00EE5441" w:rsidP="009E33E0"/>
    <w:p w14:paraId="4D946626" w14:textId="12C7A3F6" w:rsidR="00EE5441" w:rsidRDefault="00EE5441" w:rsidP="009E33E0"/>
    <w:p w14:paraId="42E9110A" w14:textId="0AF193B2" w:rsidR="00EE5441" w:rsidRDefault="00EE5441" w:rsidP="009E33E0"/>
    <w:p w14:paraId="57F75A12" w14:textId="378B5911" w:rsidR="00EE5441" w:rsidRDefault="00EE5441" w:rsidP="009E33E0"/>
    <w:p w14:paraId="14DD44A6" w14:textId="29316F30" w:rsidR="00EE5441" w:rsidRDefault="00EE5441" w:rsidP="009E33E0"/>
    <w:p w14:paraId="031BE625" w14:textId="1A6E2CE4" w:rsidR="00EE5441" w:rsidRDefault="00EE5441" w:rsidP="009E33E0"/>
    <w:p w14:paraId="5EB1A415" w14:textId="6FBA0AF5" w:rsidR="00EE5441" w:rsidRDefault="00EE5441" w:rsidP="00EE5441"/>
    <w:p w14:paraId="2E80CFCC" w14:textId="3BD92639" w:rsidR="00EE5441" w:rsidRDefault="00EE5441" w:rsidP="00EE5441"/>
    <w:p w14:paraId="770E361F" w14:textId="44A91DD1" w:rsidR="00EE5441" w:rsidRDefault="00EE5441" w:rsidP="00EE5441"/>
    <w:p w14:paraId="4F964ECA" w14:textId="0C5F101F" w:rsidR="00EE5441" w:rsidRDefault="00EE5441" w:rsidP="00EE5441"/>
    <w:p w14:paraId="07BC1454" w14:textId="588D7DE8" w:rsidR="00EE5441" w:rsidRDefault="00EE5441" w:rsidP="00EE5441"/>
    <w:p w14:paraId="0ADC7EA2" w14:textId="699EB6B9" w:rsidR="00E40A99" w:rsidRDefault="00CA0506" w:rsidP="00EE5441">
      <w:r>
        <w:t xml:space="preserve">References: </w:t>
      </w:r>
    </w:p>
    <w:p w14:paraId="1AA41CB5" w14:textId="48650375" w:rsidR="00F53BB3" w:rsidRPr="00EE5441" w:rsidRDefault="00FF769F" w:rsidP="00EE5441">
      <w:pPr>
        <w:pStyle w:val="ListParagraph"/>
        <w:numPr>
          <w:ilvl w:val="0"/>
          <w:numId w:val="12"/>
        </w:numPr>
      </w:pPr>
      <w:proofErr w:type="spellStart"/>
      <w:r w:rsidRPr="00EE5441">
        <w:t>Tervalon</w:t>
      </w:r>
      <w:proofErr w:type="spellEnd"/>
      <w:r w:rsidRPr="00EE5441">
        <w:t xml:space="preserve">, M., Murray-Garcia, J. (1998). Cultural Humility </w:t>
      </w:r>
      <w:proofErr w:type="gramStart"/>
      <w:r w:rsidRPr="00EE5441">
        <w:t>Versus</w:t>
      </w:r>
      <w:proofErr w:type="gramEnd"/>
      <w:r w:rsidRPr="00EE5441">
        <w:t xml:space="preserve"> Cultural Competence: A Critical Distinction in Defining Physician Training Outcomes in Multicultural Education. J</w:t>
      </w:r>
      <w:r w:rsidRPr="00EE5441">
        <w:rPr>
          <w:i/>
          <w:iCs/>
        </w:rPr>
        <w:t>ournal of Health Care for the Poor and Underserved, 9(2), 117-125.</w:t>
      </w:r>
    </w:p>
    <w:p w14:paraId="24EDFEDB" w14:textId="50EB12BA" w:rsidR="00F53BB3" w:rsidRPr="00EE5441" w:rsidRDefault="00FF769F" w:rsidP="00EE5441">
      <w:pPr>
        <w:pStyle w:val="ListParagraph"/>
        <w:numPr>
          <w:ilvl w:val="0"/>
          <w:numId w:val="12"/>
        </w:numPr>
      </w:pPr>
      <w:r w:rsidRPr="00EE5441">
        <w:t>White, A. &amp; Stubblefield-</w:t>
      </w:r>
      <w:proofErr w:type="spellStart"/>
      <w:r w:rsidRPr="00EE5441">
        <w:t>Tave</w:t>
      </w:r>
      <w:proofErr w:type="spellEnd"/>
      <w:r w:rsidRPr="00EE5441">
        <w:t xml:space="preserve">, B. (2017). Some Advice for Physicians and Other Clinicians Treating Minorities, Women, and other Patients at Risk of Receiving Health Care Disparities. </w:t>
      </w:r>
      <w:r w:rsidRPr="00EE5441">
        <w:rPr>
          <w:i/>
          <w:iCs/>
        </w:rPr>
        <w:t>Journal of Racial and Ethnic Health Disparities, 4, 472-479.</w:t>
      </w:r>
    </w:p>
    <w:p w14:paraId="5956ECC0" w14:textId="59300253" w:rsidR="00F53BB3" w:rsidRPr="00EE5441" w:rsidRDefault="00FF769F" w:rsidP="00EE5441">
      <w:pPr>
        <w:pStyle w:val="ListParagraph"/>
        <w:numPr>
          <w:ilvl w:val="0"/>
          <w:numId w:val="12"/>
        </w:numPr>
      </w:pPr>
      <w:proofErr w:type="spellStart"/>
      <w:r w:rsidRPr="00EE5441">
        <w:t>Smedley</w:t>
      </w:r>
      <w:proofErr w:type="spellEnd"/>
      <w:r w:rsidRPr="00EE5441">
        <w:t xml:space="preserve">, B., Stith, A., Nelson, A. (Eds.) (2003). </w:t>
      </w:r>
      <w:r w:rsidRPr="00EE5441">
        <w:rPr>
          <w:i/>
          <w:iCs/>
        </w:rPr>
        <w:t>Unequal Treatment: confronting racial and ethnic disparities in health care</w:t>
      </w:r>
      <w:r w:rsidRPr="00EE5441">
        <w:t xml:space="preserve">. Washington DC: National Academies Press. </w:t>
      </w:r>
    </w:p>
    <w:p w14:paraId="76C56FBE" w14:textId="3D895743" w:rsidR="00F53BB3" w:rsidRPr="00EE5441" w:rsidRDefault="00FF769F" w:rsidP="00EE5441">
      <w:pPr>
        <w:pStyle w:val="ListParagraph"/>
        <w:numPr>
          <w:ilvl w:val="0"/>
          <w:numId w:val="12"/>
        </w:numPr>
      </w:pPr>
      <w:r w:rsidRPr="00EE5441">
        <w:t xml:space="preserve">Byrne, A. &amp; </w:t>
      </w:r>
      <w:proofErr w:type="spellStart"/>
      <w:r w:rsidRPr="00EE5441">
        <w:t>Tanesini</w:t>
      </w:r>
      <w:proofErr w:type="spellEnd"/>
      <w:r w:rsidRPr="00EE5441">
        <w:t xml:space="preserve">, A. (2015). Instilling New Habits: Addressing Implicit Bias in Healthcare Professionals. </w:t>
      </w:r>
      <w:r w:rsidRPr="00EE5441">
        <w:rPr>
          <w:i/>
          <w:iCs/>
        </w:rPr>
        <w:t>Advances in Health Sciences Education, 20, 1255-1262</w:t>
      </w:r>
      <w:r w:rsidRPr="00EE5441">
        <w:t xml:space="preserve">. </w:t>
      </w:r>
    </w:p>
    <w:p w14:paraId="0F5CBEBE" w14:textId="77777777" w:rsidR="00F53BB3" w:rsidRPr="00EE5441" w:rsidRDefault="00FF769F" w:rsidP="00EE5441">
      <w:pPr>
        <w:pStyle w:val="ListParagraph"/>
        <w:numPr>
          <w:ilvl w:val="0"/>
          <w:numId w:val="12"/>
        </w:numPr>
      </w:pPr>
      <w:r w:rsidRPr="00EE5441">
        <w:t xml:space="preserve">Chapman, E., </w:t>
      </w:r>
      <w:proofErr w:type="spellStart"/>
      <w:r w:rsidRPr="00EE5441">
        <w:t>Kaatz</w:t>
      </w:r>
      <w:proofErr w:type="spellEnd"/>
      <w:r w:rsidRPr="00EE5441">
        <w:t xml:space="preserve">, A., Carnes, M. (2013). Physicians and Implicit Bias: How Doctors May Unwittingly Perpetuate Health Care Disparities. </w:t>
      </w:r>
      <w:r w:rsidRPr="00EE5441">
        <w:rPr>
          <w:i/>
          <w:iCs/>
        </w:rPr>
        <w:t xml:space="preserve">Journal of General Internal Medicine, 28(11), 1504-1510. </w:t>
      </w:r>
    </w:p>
    <w:p w14:paraId="740E3618" w14:textId="027F4BB3" w:rsidR="00F53BB3" w:rsidRPr="00EE5441" w:rsidRDefault="00FF769F" w:rsidP="00EE5441">
      <w:pPr>
        <w:pStyle w:val="ListParagraph"/>
        <w:numPr>
          <w:ilvl w:val="0"/>
          <w:numId w:val="12"/>
        </w:numPr>
      </w:pPr>
      <w:r w:rsidRPr="00EE5441">
        <w:t>Lie, D., Carter-</w:t>
      </w:r>
      <w:proofErr w:type="spellStart"/>
      <w:r w:rsidRPr="00EE5441">
        <w:t>Pokras</w:t>
      </w:r>
      <w:proofErr w:type="spellEnd"/>
      <w:r w:rsidRPr="00EE5441">
        <w:t xml:space="preserve">, O., Braun, B., Coleman, C. (2012). What do Health Literacy and Cultural Competence Have in Common? Calling for a Collaborative Pedagogy. </w:t>
      </w:r>
      <w:r w:rsidRPr="00EE5441">
        <w:rPr>
          <w:i/>
          <w:iCs/>
        </w:rPr>
        <w:t>Journal of Health Communication, 12(3), 13-22.</w:t>
      </w:r>
    </w:p>
    <w:p w14:paraId="66767DB1" w14:textId="1E52DAF5" w:rsidR="009E33E0" w:rsidRPr="00853D70" w:rsidRDefault="009E33E0" w:rsidP="009E33E0">
      <w:pPr>
        <w:pStyle w:val="ListParagraph"/>
      </w:pPr>
    </w:p>
    <w:p w14:paraId="0ED8ABA4" w14:textId="7C64CDE0" w:rsidR="00CA0506" w:rsidRDefault="00CA0506" w:rsidP="001A4350">
      <w:pPr>
        <w:pStyle w:val="ListParagraph"/>
      </w:pPr>
    </w:p>
    <w:sectPr w:rsidR="00CA0506" w:rsidSect="006E5A5E">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4E0E" w14:textId="77777777" w:rsidR="00387542" w:rsidRDefault="00387542" w:rsidP="00CA0506">
      <w:pPr>
        <w:spacing w:after="0" w:line="240" w:lineRule="auto"/>
      </w:pPr>
      <w:r>
        <w:separator/>
      </w:r>
    </w:p>
  </w:endnote>
  <w:endnote w:type="continuationSeparator" w:id="0">
    <w:p w14:paraId="66A18926" w14:textId="77777777" w:rsidR="00387542" w:rsidRDefault="00387542"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26E5" w14:textId="3B7CBCFD" w:rsidR="002344C8" w:rsidRPr="002344C8" w:rsidRDefault="002344C8" w:rsidP="002344C8">
    <w:pPr>
      <w:pStyle w:val="NormalWeb"/>
      <w:spacing w:before="0" w:beforeAutospacing="0" w:after="0" w:afterAutospacing="0"/>
      <w:jc w:val="center"/>
      <w:rPr>
        <w:sz w:val="20"/>
      </w:rPr>
    </w:pPr>
    <w:r w:rsidRPr="002344C8">
      <w:rPr>
        <w:rFonts w:asciiTheme="minorHAnsi" w:hAnsi="Calibri" w:cstheme="minorBidi"/>
        <w:iCs/>
        <w:color w:val="000000" w:themeColor="text1"/>
        <w:kern w:val="24"/>
        <w:sz w:val="20"/>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CC4D" w14:textId="77777777" w:rsidR="00387542" w:rsidRDefault="00387542" w:rsidP="00CA0506">
      <w:pPr>
        <w:spacing w:after="0" w:line="240" w:lineRule="auto"/>
      </w:pPr>
      <w:r>
        <w:separator/>
      </w:r>
    </w:p>
  </w:footnote>
  <w:footnote w:type="continuationSeparator" w:id="0">
    <w:p w14:paraId="38EFBCB0" w14:textId="77777777" w:rsidR="00387542" w:rsidRDefault="00387542"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61E0E0E3" w:rsidR="006E5A5E" w:rsidRPr="006E5A5E" w:rsidRDefault="007F3C7A"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Cultural Humility Module 1</w:t>
    </w:r>
    <w:r w:rsidR="006E5A5E"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23EA0BF7"/>
    <w:multiLevelType w:val="hybridMultilevel"/>
    <w:tmpl w:val="6040CD26"/>
    <w:lvl w:ilvl="0" w:tplc="D3DC3312">
      <w:start w:val="1"/>
      <w:numFmt w:val="bullet"/>
      <w:lvlText w:val="•"/>
      <w:lvlJc w:val="left"/>
      <w:pPr>
        <w:tabs>
          <w:tab w:val="num" w:pos="720"/>
        </w:tabs>
        <w:ind w:left="720" w:hanging="360"/>
      </w:pPr>
      <w:rPr>
        <w:rFonts w:ascii="Arial" w:hAnsi="Arial" w:hint="default"/>
      </w:rPr>
    </w:lvl>
    <w:lvl w:ilvl="1" w:tplc="AF1680CC" w:tentative="1">
      <w:start w:val="1"/>
      <w:numFmt w:val="bullet"/>
      <w:lvlText w:val="•"/>
      <w:lvlJc w:val="left"/>
      <w:pPr>
        <w:tabs>
          <w:tab w:val="num" w:pos="1440"/>
        </w:tabs>
        <w:ind w:left="1440" w:hanging="360"/>
      </w:pPr>
      <w:rPr>
        <w:rFonts w:ascii="Arial" w:hAnsi="Arial" w:hint="default"/>
      </w:rPr>
    </w:lvl>
    <w:lvl w:ilvl="2" w:tplc="82489900" w:tentative="1">
      <w:start w:val="1"/>
      <w:numFmt w:val="bullet"/>
      <w:lvlText w:val="•"/>
      <w:lvlJc w:val="left"/>
      <w:pPr>
        <w:tabs>
          <w:tab w:val="num" w:pos="2160"/>
        </w:tabs>
        <w:ind w:left="2160" w:hanging="360"/>
      </w:pPr>
      <w:rPr>
        <w:rFonts w:ascii="Arial" w:hAnsi="Arial" w:hint="default"/>
      </w:rPr>
    </w:lvl>
    <w:lvl w:ilvl="3" w:tplc="2D8EFD42" w:tentative="1">
      <w:start w:val="1"/>
      <w:numFmt w:val="bullet"/>
      <w:lvlText w:val="•"/>
      <w:lvlJc w:val="left"/>
      <w:pPr>
        <w:tabs>
          <w:tab w:val="num" w:pos="2880"/>
        </w:tabs>
        <w:ind w:left="2880" w:hanging="360"/>
      </w:pPr>
      <w:rPr>
        <w:rFonts w:ascii="Arial" w:hAnsi="Arial" w:hint="default"/>
      </w:rPr>
    </w:lvl>
    <w:lvl w:ilvl="4" w:tplc="7FE848CC" w:tentative="1">
      <w:start w:val="1"/>
      <w:numFmt w:val="bullet"/>
      <w:lvlText w:val="•"/>
      <w:lvlJc w:val="left"/>
      <w:pPr>
        <w:tabs>
          <w:tab w:val="num" w:pos="3600"/>
        </w:tabs>
        <w:ind w:left="3600" w:hanging="360"/>
      </w:pPr>
      <w:rPr>
        <w:rFonts w:ascii="Arial" w:hAnsi="Arial" w:hint="default"/>
      </w:rPr>
    </w:lvl>
    <w:lvl w:ilvl="5" w:tplc="07E4FD1E" w:tentative="1">
      <w:start w:val="1"/>
      <w:numFmt w:val="bullet"/>
      <w:lvlText w:val="•"/>
      <w:lvlJc w:val="left"/>
      <w:pPr>
        <w:tabs>
          <w:tab w:val="num" w:pos="4320"/>
        </w:tabs>
        <w:ind w:left="4320" w:hanging="360"/>
      </w:pPr>
      <w:rPr>
        <w:rFonts w:ascii="Arial" w:hAnsi="Arial" w:hint="default"/>
      </w:rPr>
    </w:lvl>
    <w:lvl w:ilvl="6" w:tplc="2CA4E94C" w:tentative="1">
      <w:start w:val="1"/>
      <w:numFmt w:val="bullet"/>
      <w:lvlText w:val="•"/>
      <w:lvlJc w:val="left"/>
      <w:pPr>
        <w:tabs>
          <w:tab w:val="num" w:pos="5040"/>
        </w:tabs>
        <w:ind w:left="5040" w:hanging="360"/>
      </w:pPr>
      <w:rPr>
        <w:rFonts w:ascii="Arial" w:hAnsi="Arial" w:hint="default"/>
      </w:rPr>
    </w:lvl>
    <w:lvl w:ilvl="7" w:tplc="AF0610FE" w:tentative="1">
      <w:start w:val="1"/>
      <w:numFmt w:val="bullet"/>
      <w:lvlText w:val="•"/>
      <w:lvlJc w:val="left"/>
      <w:pPr>
        <w:tabs>
          <w:tab w:val="num" w:pos="5760"/>
        </w:tabs>
        <w:ind w:left="5760" w:hanging="360"/>
      </w:pPr>
      <w:rPr>
        <w:rFonts w:ascii="Arial" w:hAnsi="Arial" w:hint="default"/>
      </w:rPr>
    </w:lvl>
    <w:lvl w:ilvl="8" w:tplc="207A6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3" w15:restartNumberingAfterBreak="0">
    <w:nsid w:val="3E946448"/>
    <w:multiLevelType w:val="hybridMultilevel"/>
    <w:tmpl w:val="F472602A"/>
    <w:lvl w:ilvl="0" w:tplc="A38A5E2C">
      <w:start w:val="1"/>
      <w:numFmt w:val="decimal"/>
      <w:lvlText w:val="%1."/>
      <w:lvlJc w:val="left"/>
      <w:pPr>
        <w:tabs>
          <w:tab w:val="num" w:pos="720"/>
        </w:tabs>
        <w:ind w:left="720" w:hanging="360"/>
      </w:pPr>
    </w:lvl>
    <w:lvl w:ilvl="1" w:tplc="5032048C" w:tentative="1">
      <w:start w:val="1"/>
      <w:numFmt w:val="decimal"/>
      <w:lvlText w:val="%2."/>
      <w:lvlJc w:val="left"/>
      <w:pPr>
        <w:tabs>
          <w:tab w:val="num" w:pos="1440"/>
        </w:tabs>
        <w:ind w:left="1440" w:hanging="360"/>
      </w:pPr>
    </w:lvl>
    <w:lvl w:ilvl="2" w:tplc="C618434C" w:tentative="1">
      <w:start w:val="1"/>
      <w:numFmt w:val="decimal"/>
      <w:lvlText w:val="%3."/>
      <w:lvlJc w:val="left"/>
      <w:pPr>
        <w:tabs>
          <w:tab w:val="num" w:pos="2160"/>
        </w:tabs>
        <w:ind w:left="2160" w:hanging="360"/>
      </w:pPr>
    </w:lvl>
    <w:lvl w:ilvl="3" w:tplc="484A8C04" w:tentative="1">
      <w:start w:val="1"/>
      <w:numFmt w:val="decimal"/>
      <w:lvlText w:val="%4."/>
      <w:lvlJc w:val="left"/>
      <w:pPr>
        <w:tabs>
          <w:tab w:val="num" w:pos="2880"/>
        </w:tabs>
        <w:ind w:left="2880" w:hanging="360"/>
      </w:pPr>
    </w:lvl>
    <w:lvl w:ilvl="4" w:tplc="D6AE735C" w:tentative="1">
      <w:start w:val="1"/>
      <w:numFmt w:val="decimal"/>
      <w:lvlText w:val="%5."/>
      <w:lvlJc w:val="left"/>
      <w:pPr>
        <w:tabs>
          <w:tab w:val="num" w:pos="3600"/>
        </w:tabs>
        <w:ind w:left="3600" w:hanging="360"/>
      </w:pPr>
    </w:lvl>
    <w:lvl w:ilvl="5" w:tplc="2B42E5B4" w:tentative="1">
      <w:start w:val="1"/>
      <w:numFmt w:val="decimal"/>
      <w:lvlText w:val="%6."/>
      <w:lvlJc w:val="left"/>
      <w:pPr>
        <w:tabs>
          <w:tab w:val="num" w:pos="4320"/>
        </w:tabs>
        <w:ind w:left="4320" w:hanging="360"/>
      </w:pPr>
    </w:lvl>
    <w:lvl w:ilvl="6" w:tplc="F05A4B9E" w:tentative="1">
      <w:start w:val="1"/>
      <w:numFmt w:val="decimal"/>
      <w:lvlText w:val="%7."/>
      <w:lvlJc w:val="left"/>
      <w:pPr>
        <w:tabs>
          <w:tab w:val="num" w:pos="5040"/>
        </w:tabs>
        <w:ind w:left="5040" w:hanging="360"/>
      </w:pPr>
    </w:lvl>
    <w:lvl w:ilvl="7" w:tplc="5E22C842" w:tentative="1">
      <w:start w:val="1"/>
      <w:numFmt w:val="decimal"/>
      <w:lvlText w:val="%8."/>
      <w:lvlJc w:val="left"/>
      <w:pPr>
        <w:tabs>
          <w:tab w:val="num" w:pos="5760"/>
        </w:tabs>
        <w:ind w:left="5760" w:hanging="360"/>
      </w:pPr>
    </w:lvl>
    <w:lvl w:ilvl="8" w:tplc="1E8C361A" w:tentative="1">
      <w:start w:val="1"/>
      <w:numFmt w:val="decimal"/>
      <w:lvlText w:val="%9."/>
      <w:lvlJc w:val="left"/>
      <w:pPr>
        <w:tabs>
          <w:tab w:val="num" w:pos="6480"/>
        </w:tabs>
        <w:ind w:left="6480" w:hanging="360"/>
      </w:pPr>
    </w:lvl>
  </w:abstractNum>
  <w:abstractNum w:abstractNumId="4"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5"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62CA2"/>
    <w:multiLevelType w:val="hybridMultilevel"/>
    <w:tmpl w:val="12269490"/>
    <w:lvl w:ilvl="0" w:tplc="E552387E">
      <w:start w:val="1"/>
      <w:numFmt w:val="bullet"/>
      <w:lvlText w:val="•"/>
      <w:lvlJc w:val="left"/>
      <w:pPr>
        <w:tabs>
          <w:tab w:val="num" w:pos="720"/>
        </w:tabs>
        <w:ind w:left="720" w:hanging="360"/>
      </w:pPr>
      <w:rPr>
        <w:rFonts w:ascii="Arial" w:hAnsi="Arial" w:hint="default"/>
      </w:rPr>
    </w:lvl>
    <w:lvl w:ilvl="1" w:tplc="89FE6F12" w:tentative="1">
      <w:start w:val="1"/>
      <w:numFmt w:val="bullet"/>
      <w:lvlText w:val="•"/>
      <w:lvlJc w:val="left"/>
      <w:pPr>
        <w:tabs>
          <w:tab w:val="num" w:pos="1440"/>
        </w:tabs>
        <w:ind w:left="1440" w:hanging="360"/>
      </w:pPr>
      <w:rPr>
        <w:rFonts w:ascii="Arial" w:hAnsi="Arial" w:hint="default"/>
      </w:rPr>
    </w:lvl>
    <w:lvl w:ilvl="2" w:tplc="7E36522A" w:tentative="1">
      <w:start w:val="1"/>
      <w:numFmt w:val="bullet"/>
      <w:lvlText w:val="•"/>
      <w:lvlJc w:val="left"/>
      <w:pPr>
        <w:tabs>
          <w:tab w:val="num" w:pos="2160"/>
        </w:tabs>
        <w:ind w:left="2160" w:hanging="360"/>
      </w:pPr>
      <w:rPr>
        <w:rFonts w:ascii="Arial" w:hAnsi="Arial" w:hint="default"/>
      </w:rPr>
    </w:lvl>
    <w:lvl w:ilvl="3" w:tplc="AB660D26" w:tentative="1">
      <w:start w:val="1"/>
      <w:numFmt w:val="bullet"/>
      <w:lvlText w:val="•"/>
      <w:lvlJc w:val="left"/>
      <w:pPr>
        <w:tabs>
          <w:tab w:val="num" w:pos="2880"/>
        </w:tabs>
        <w:ind w:left="2880" w:hanging="360"/>
      </w:pPr>
      <w:rPr>
        <w:rFonts w:ascii="Arial" w:hAnsi="Arial" w:hint="default"/>
      </w:rPr>
    </w:lvl>
    <w:lvl w:ilvl="4" w:tplc="C3DA1722" w:tentative="1">
      <w:start w:val="1"/>
      <w:numFmt w:val="bullet"/>
      <w:lvlText w:val="•"/>
      <w:lvlJc w:val="left"/>
      <w:pPr>
        <w:tabs>
          <w:tab w:val="num" w:pos="3600"/>
        </w:tabs>
        <w:ind w:left="3600" w:hanging="360"/>
      </w:pPr>
      <w:rPr>
        <w:rFonts w:ascii="Arial" w:hAnsi="Arial" w:hint="default"/>
      </w:rPr>
    </w:lvl>
    <w:lvl w:ilvl="5" w:tplc="EAD6C92C" w:tentative="1">
      <w:start w:val="1"/>
      <w:numFmt w:val="bullet"/>
      <w:lvlText w:val="•"/>
      <w:lvlJc w:val="left"/>
      <w:pPr>
        <w:tabs>
          <w:tab w:val="num" w:pos="4320"/>
        </w:tabs>
        <w:ind w:left="4320" w:hanging="360"/>
      </w:pPr>
      <w:rPr>
        <w:rFonts w:ascii="Arial" w:hAnsi="Arial" w:hint="default"/>
      </w:rPr>
    </w:lvl>
    <w:lvl w:ilvl="6" w:tplc="3E000D8C" w:tentative="1">
      <w:start w:val="1"/>
      <w:numFmt w:val="bullet"/>
      <w:lvlText w:val="•"/>
      <w:lvlJc w:val="left"/>
      <w:pPr>
        <w:tabs>
          <w:tab w:val="num" w:pos="5040"/>
        </w:tabs>
        <w:ind w:left="5040" w:hanging="360"/>
      </w:pPr>
      <w:rPr>
        <w:rFonts w:ascii="Arial" w:hAnsi="Arial" w:hint="default"/>
      </w:rPr>
    </w:lvl>
    <w:lvl w:ilvl="7" w:tplc="12FCC212" w:tentative="1">
      <w:start w:val="1"/>
      <w:numFmt w:val="bullet"/>
      <w:lvlText w:val="•"/>
      <w:lvlJc w:val="left"/>
      <w:pPr>
        <w:tabs>
          <w:tab w:val="num" w:pos="5760"/>
        </w:tabs>
        <w:ind w:left="5760" w:hanging="360"/>
      </w:pPr>
      <w:rPr>
        <w:rFonts w:ascii="Arial" w:hAnsi="Arial" w:hint="default"/>
      </w:rPr>
    </w:lvl>
    <w:lvl w:ilvl="8" w:tplc="E97003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0"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2"/>
  </w:num>
  <w:num w:numId="5">
    <w:abstractNumId w:val="0"/>
  </w:num>
  <w:num w:numId="6">
    <w:abstractNumId w:val="10"/>
  </w:num>
  <w:num w:numId="7">
    <w:abstractNumId w:val="11"/>
  </w:num>
  <w:num w:numId="8">
    <w:abstractNumId w:val="6"/>
  </w:num>
  <w:num w:numId="9">
    <w:abstractNumId w:val="9"/>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137A44"/>
    <w:rsid w:val="00184881"/>
    <w:rsid w:val="001A4350"/>
    <w:rsid w:val="001C041E"/>
    <w:rsid w:val="001F081A"/>
    <w:rsid w:val="002344C8"/>
    <w:rsid w:val="00343B50"/>
    <w:rsid w:val="0038462B"/>
    <w:rsid w:val="00387542"/>
    <w:rsid w:val="003A74BA"/>
    <w:rsid w:val="00497577"/>
    <w:rsid w:val="00502494"/>
    <w:rsid w:val="0056789D"/>
    <w:rsid w:val="006E5A5E"/>
    <w:rsid w:val="00733A4C"/>
    <w:rsid w:val="007A781E"/>
    <w:rsid w:val="007F3C7A"/>
    <w:rsid w:val="007F4765"/>
    <w:rsid w:val="008049A3"/>
    <w:rsid w:val="00843A78"/>
    <w:rsid w:val="00853D70"/>
    <w:rsid w:val="008C05E7"/>
    <w:rsid w:val="008E0FFC"/>
    <w:rsid w:val="009E33E0"/>
    <w:rsid w:val="00A23490"/>
    <w:rsid w:val="00A2502A"/>
    <w:rsid w:val="00A90914"/>
    <w:rsid w:val="00AA7845"/>
    <w:rsid w:val="00AB593F"/>
    <w:rsid w:val="00AC0812"/>
    <w:rsid w:val="00AD00EF"/>
    <w:rsid w:val="00AD14FA"/>
    <w:rsid w:val="00AD1DE1"/>
    <w:rsid w:val="00AF55DA"/>
    <w:rsid w:val="00B13651"/>
    <w:rsid w:val="00C103B1"/>
    <w:rsid w:val="00CA0506"/>
    <w:rsid w:val="00D542C9"/>
    <w:rsid w:val="00DF0FE7"/>
    <w:rsid w:val="00E36595"/>
    <w:rsid w:val="00E40A99"/>
    <w:rsid w:val="00E53F9C"/>
    <w:rsid w:val="00E71116"/>
    <w:rsid w:val="00E84856"/>
    <w:rsid w:val="00EE5441"/>
    <w:rsid w:val="00F53BB3"/>
    <w:rsid w:val="00FD057F"/>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 w:type="paragraph" w:styleId="NormalWeb">
    <w:name w:val="Normal (Web)"/>
    <w:basedOn w:val="Normal"/>
    <w:uiPriority w:val="99"/>
    <w:unhideWhenUsed/>
    <w:rsid w:val="002344C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0080">
      <w:bodyDiv w:val="1"/>
      <w:marLeft w:val="0"/>
      <w:marRight w:val="0"/>
      <w:marTop w:val="0"/>
      <w:marBottom w:val="0"/>
      <w:divBdr>
        <w:top w:val="none" w:sz="0" w:space="0" w:color="auto"/>
        <w:left w:val="none" w:sz="0" w:space="0" w:color="auto"/>
        <w:bottom w:val="none" w:sz="0" w:space="0" w:color="auto"/>
        <w:right w:val="none" w:sz="0" w:space="0" w:color="auto"/>
      </w:divBdr>
      <w:divsChild>
        <w:div w:id="260721655">
          <w:marLeft w:val="806"/>
          <w:marRight w:val="0"/>
          <w:marTop w:val="200"/>
          <w:marBottom w:val="0"/>
          <w:divBdr>
            <w:top w:val="none" w:sz="0" w:space="0" w:color="auto"/>
            <w:left w:val="none" w:sz="0" w:space="0" w:color="auto"/>
            <w:bottom w:val="none" w:sz="0" w:space="0" w:color="auto"/>
            <w:right w:val="none" w:sz="0" w:space="0" w:color="auto"/>
          </w:divBdr>
        </w:div>
        <w:div w:id="1160728689">
          <w:marLeft w:val="806"/>
          <w:marRight w:val="0"/>
          <w:marTop w:val="200"/>
          <w:marBottom w:val="0"/>
          <w:divBdr>
            <w:top w:val="none" w:sz="0" w:space="0" w:color="auto"/>
            <w:left w:val="none" w:sz="0" w:space="0" w:color="auto"/>
            <w:bottom w:val="none" w:sz="0" w:space="0" w:color="auto"/>
            <w:right w:val="none" w:sz="0" w:space="0" w:color="auto"/>
          </w:divBdr>
        </w:div>
        <w:div w:id="570627840">
          <w:marLeft w:val="806"/>
          <w:marRight w:val="0"/>
          <w:marTop w:val="200"/>
          <w:marBottom w:val="0"/>
          <w:divBdr>
            <w:top w:val="none" w:sz="0" w:space="0" w:color="auto"/>
            <w:left w:val="none" w:sz="0" w:space="0" w:color="auto"/>
            <w:bottom w:val="none" w:sz="0" w:space="0" w:color="auto"/>
            <w:right w:val="none" w:sz="0" w:space="0" w:color="auto"/>
          </w:divBdr>
        </w:div>
        <w:div w:id="22481909">
          <w:marLeft w:val="806"/>
          <w:marRight w:val="0"/>
          <w:marTop w:val="200"/>
          <w:marBottom w:val="0"/>
          <w:divBdr>
            <w:top w:val="none" w:sz="0" w:space="0" w:color="auto"/>
            <w:left w:val="none" w:sz="0" w:space="0" w:color="auto"/>
            <w:bottom w:val="none" w:sz="0" w:space="0" w:color="auto"/>
            <w:right w:val="none" w:sz="0" w:space="0" w:color="auto"/>
          </w:divBdr>
        </w:div>
        <w:div w:id="1240990145">
          <w:marLeft w:val="806"/>
          <w:marRight w:val="0"/>
          <w:marTop w:val="200"/>
          <w:marBottom w:val="0"/>
          <w:divBdr>
            <w:top w:val="none" w:sz="0" w:space="0" w:color="auto"/>
            <w:left w:val="none" w:sz="0" w:space="0" w:color="auto"/>
            <w:bottom w:val="none" w:sz="0" w:space="0" w:color="auto"/>
            <w:right w:val="none" w:sz="0" w:space="0" w:color="auto"/>
          </w:divBdr>
        </w:div>
        <w:div w:id="1722705387">
          <w:marLeft w:val="806"/>
          <w:marRight w:val="0"/>
          <w:marTop w:val="200"/>
          <w:marBottom w:val="0"/>
          <w:divBdr>
            <w:top w:val="none" w:sz="0" w:space="0" w:color="auto"/>
            <w:left w:val="none" w:sz="0" w:space="0" w:color="auto"/>
            <w:bottom w:val="none" w:sz="0" w:space="0" w:color="auto"/>
            <w:right w:val="none" w:sz="0" w:space="0" w:color="auto"/>
          </w:divBdr>
        </w:div>
      </w:divsChild>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629745107">
      <w:bodyDiv w:val="1"/>
      <w:marLeft w:val="0"/>
      <w:marRight w:val="0"/>
      <w:marTop w:val="0"/>
      <w:marBottom w:val="0"/>
      <w:divBdr>
        <w:top w:val="none" w:sz="0" w:space="0" w:color="auto"/>
        <w:left w:val="none" w:sz="0" w:space="0" w:color="auto"/>
        <w:bottom w:val="none" w:sz="0" w:space="0" w:color="auto"/>
        <w:right w:val="none" w:sz="0" w:space="0" w:color="auto"/>
      </w:divBdr>
    </w:div>
    <w:div w:id="976183579">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366592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773">
          <w:marLeft w:val="360"/>
          <w:marRight w:val="0"/>
          <w:marTop w:val="200"/>
          <w:marBottom w:val="0"/>
          <w:divBdr>
            <w:top w:val="none" w:sz="0" w:space="0" w:color="auto"/>
            <w:left w:val="none" w:sz="0" w:space="0" w:color="auto"/>
            <w:bottom w:val="none" w:sz="0" w:space="0" w:color="auto"/>
            <w:right w:val="none" w:sz="0" w:space="0" w:color="auto"/>
          </w:divBdr>
        </w:div>
        <w:div w:id="2056003740">
          <w:marLeft w:val="360"/>
          <w:marRight w:val="0"/>
          <w:marTop w:val="200"/>
          <w:marBottom w:val="0"/>
          <w:divBdr>
            <w:top w:val="none" w:sz="0" w:space="0" w:color="auto"/>
            <w:left w:val="none" w:sz="0" w:space="0" w:color="auto"/>
            <w:bottom w:val="none" w:sz="0" w:space="0" w:color="auto"/>
            <w:right w:val="none" w:sz="0" w:space="0" w:color="auto"/>
          </w:divBdr>
        </w:div>
        <w:div w:id="712264869">
          <w:marLeft w:val="360"/>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Windows User</cp:lastModifiedBy>
  <cp:revision>7</cp:revision>
  <dcterms:created xsi:type="dcterms:W3CDTF">2019-11-13T17:33:00Z</dcterms:created>
  <dcterms:modified xsi:type="dcterms:W3CDTF">2020-05-22T18:25:00Z</dcterms:modified>
</cp:coreProperties>
</file>