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BD08E" w14:textId="5C7B0FD0" w:rsidR="003C0223" w:rsidRPr="003C0223" w:rsidRDefault="003C0223" w:rsidP="00027638">
      <w:pPr>
        <w:spacing w:line="360" w:lineRule="auto"/>
        <w:contextualSpacing/>
        <w:rPr>
          <w:b/>
          <w:sz w:val="28"/>
        </w:rPr>
      </w:pPr>
      <w:r w:rsidRPr="003C0223">
        <w:rPr>
          <w:b/>
          <w:sz w:val="28"/>
        </w:rPr>
        <w:t>Health Literacy and Treatment Adherence</w:t>
      </w:r>
    </w:p>
    <w:p w14:paraId="5F53359C" w14:textId="7352ADA0" w:rsidR="00027638" w:rsidRPr="00027638" w:rsidRDefault="00991F87" w:rsidP="00027638">
      <w:pPr>
        <w:spacing w:line="360" w:lineRule="auto"/>
        <w:rPr>
          <w:sz w:val="28"/>
        </w:rPr>
      </w:pPr>
      <w:r w:rsidRPr="00027638">
        <w:rPr>
          <w:sz w:val="28"/>
        </w:rPr>
        <w:t xml:space="preserve">A 2017 </w:t>
      </w:r>
      <w:proofErr w:type="spellStart"/>
      <w:proofErr w:type="gramStart"/>
      <w:r w:rsidRPr="00027638">
        <w:rPr>
          <w:sz w:val="28"/>
        </w:rPr>
        <w:t>meta</w:t>
      </w:r>
      <w:proofErr w:type="gramEnd"/>
      <w:r w:rsidRPr="00027638">
        <w:rPr>
          <w:sz w:val="28"/>
        </w:rPr>
        <w:t xml:space="preserve"> analysis</w:t>
      </w:r>
      <w:proofErr w:type="spellEnd"/>
      <w:r w:rsidRPr="00027638">
        <w:rPr>
          <w:sz w:val="28"/>
        </w:rPr>
        <w:t xml:space="preserve"> looked at </w:t>
      </w:r>
      <w:r w:rsidRPr="00027638">
        <w:rPr>
          <w:bCs/>
          <w:sz w:val="28"/>
        </w:rPr>
        <w:t xml:space="preserve">220 studies </w:t>
      </w:r>
      <w:r w:rsidRPr="00027638">
        <w:rPr>
          <w:sz w:val="28"/>
        </w:rPr>
        <w:t>of health literacy and treatment adherence and found:</w:t>
      </w:r>
    </w:p>
    <w:p w14:paraId="6AE22C29" w14:textId="4305AB12" w:rsidR="00027638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 xml:space="preserve">A </w:t>
      </w:r>
      <w:r w:rsidRPr="00027638">
        <w:rPr>
          <w:bCs/>
          <w:sz w:val="28"/>
        </w:rPr>
        <w:t xml:space="preserve">“highly significant” correlation </w:t>
      </w:r>
      <w:r w:rsidRPr="00027638">
        <w:rPr>
          <w:sz w:val="28"/>
        </w:rPr>
        <w:t xml:space="preserve">between </w:t>
      </w:r>
      <w:r w:rsidR="00E27F44" w:rsidRPr="00E27F44">
        <w:rPr>
          <w:b/>
          <w:bCs/>
          <w:sz w:val="28"/>
          <w:u w:val="single"/>
        </w:rPr>
        <w:t>health literacy</w:t>
      </w:r>
      <w:r w:rsidR="00E27F44">
        <w:rPr>
          <w:bCs/>
          <w:sz w:val="28"/>
        </w:rPr>
        <w:t xml:space="preserve"> </w:t>
      </w:r>
      <w:r w:rsidRPr="00027638">
        <w:rPr>
          <w:sz w:val="28"/>
        </w:rPr>
        <w:t xml:space="preserve">and patient </w:t>
      </w:r>
      <w:r w:rsidR="00E27F44" w:rsidRPr="00E27F44">
        <w:rPr>
          <w:b/>
          <w:bCs/>
          <w:sz w:val="28"/>
          <w:u w:val="single"/>
        </w:rPr>
        <w:t>adherence.</w:t>
      </w:r>
    </w:p>
    <w:p w14:paraId="3F7B2940" w14:textId="600AEF99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>A “</w:t>
      </w:r>
      <w:r w:rsidR="00E27F44" w:rsidRPr="00E27F44">
        <w:rPr>
          <w:b/>
          <w:bCs/>
          <w:sz w:val="28"/>
          <w:u w:val="single"/>
        </w:rPr>
        <w:t>14% higher risk</w:t>
      </w:r>
      <w:r w:rsidRPr="00027638">
        <w:rPr>
          <w:bCs/>
          <w:sz w:val="28"/>
        </w:rPr>
        <w:t xml:space="preserve"> </w:t>
      </w:r>
      <w:r w:rsidRPr="00027638">
        <w:rPr>
          <w:sz w:val="28"/>
        </w:rPr>
        <w:t xml:space="preserve">of </w:t>
      </w:r>
      <w:proofErr w:type="spellStart"/>
      <w:r w:rsidRPr="00027638">
        <w:rPr>
          <w:sz w:val="28"/>
        </w:rPr>
        <w:t>nonadherence</w:t>
      </w:r>
      <w:proofErr w:type="spellEnd"/>
      <w:r w:rsidRPr="00027638">
        <w:rPr>
          <w:sz w:val="28"/>
        </w:rPr>
        <w:t xml:space="preserve"> among patients who have lower health literacy than among patients with higher health literacy”</w:t>
      </w:r>
      <w:r w:rsidRPr="00027638">
        <w:rPr>
          <w:sz w:val="28"/>
          <w:vertAlign w:val="superscript"/>
        </w:rPr>
        <w:t>3</w:t>
      </w:r>
    </w:p>
    <w:p w14:paraId="226659F2" w14:textId="1C7ABF3F" w:rsidR="00027638" w:rsidRPr="003C0223" w:rsidRDefault="003C0223" w:rsidP="003C0223">
      <w:pPr>
        <w:spacing w:line="360" w:lineRule="auto"/>
        <w:rPr>
          <w:b/>
          <w:sz w:val="28"/>
        </w:rPr>
      </w:pPr>
      <w:r w:rsidRPr="003C0223">
        <w:rPr>
          <w:b/>
          <w:sz w:val="28"/>
        </w:rPr>
        <w:t>How does health literacy affect medication adherence?</w:t>
      </w:r>
    </w:p>
    <w:p w14:paraId="15B611B0" w14:textId="77777777" w:rsidR="00AF4C2A" w:rsidRPr="00027638" w:rsidRDefault="00991F87" w:rsidP="00027638">
      <w:pPr>
        <w:spacing w:line="360" w:lineRule="auto"/>
        <w:rPr>
          <w:sz w:val="28"/>
        </w:rPr>
      </w:pPr>
      <w:r w:rsidRPr="00027638">
        <w:rPr>
          <w:sz w:val="28"/>
        </w:rPr>
        <w:t xml:space="preserve">Limited health literacy can affect a person’s ability to: </w:t>
      </w:r>
    </w:p>
    <w:p w14:paraId="04D158C5" w14:textId="4FF0E141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 xml:space="preserve">Identify </w:t>
      </w:r>
      <w:r w:rsidR="00E27F44" w:rsidRPr="00E27F44">
        <w:rPr>
          <w:b/>
          <w:sz w:val="28"/>
          <w:u w:val="single"/>
        </w:rPr>
        <w:t>medications</w:t>
      </w:r>
    </w:p>
    <w:p w14:paraId="6E472A25" w14:textId="5F53F401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>Interpret</w:t>
      </w:r>
      <w:r w:rsidRPr="00E27F44">
        <w:rPr>
          <w:b/>
          <w:sz w:val="28"/>
          <w:u w:val="single"/>
        </w:rPr>
        <w:t xml:space="preserve"> </w:t>
      </w:r>
      <w:r w:rsidR="00E27F44" w:rsidRPr="00E27F44">
        <w:rPr>
          <w:b/>
          <w:sz w:val="28"/>
          <w:u w:val="single"/>
        </w:rPr>
        <w:t>dosing</w:t>
      </w:r>
    </w:p>
    <w:p w14:paraId="3B28D091" w14:textId="77777777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>Take medications correctly</w:t>
      </w:r>
    </w:p>
    <w:p w14:paraId="54C1AFD2" w14:textId="0DC6232F" w:rsidR="00027638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 xml:space="preserve">Understand drug </w:t>
      </w:r>
      <w:r w:rsidR="00E27F44" w:rsidRPr="00E27F44">
        <w:rPr>
          <w:b/>
          <w:sz w:val="28"/>
          <w:u w:val="single"/>
        </w:rPr>
        <w:t>labels</w:t>
      </w:r>
      <w:r w:rsidRPr="00027638">
        <w:rPr>
          <w:sz w:val="28"/>
          <w:vertAlign w:val="superscript"/>
        </w:rPr>
        <w:t>2</w:t>
      </w:r>
    </w:p>
    <w:p w14:paraId="6CE8CB3A" w14:textId="424A1404" w:rsidR="00027638" w:rsidRDefault="00991F87" w:rsidP="00027638">
      <w:pPr>
        <w:spacing w:line="360" w:lineRule="auto"/>
        <w:contextualSpacing/>
        <w:rPr>
          <w:sz w:val="28"/>
        </w:rPr>
      </w:pPr>
      <w:r w:rsidRPr="00027638">
        <w:rPr>
          <w:sz w:val="28"/>
        </w:rPr>
        <w:t xml:space="preserve">In addition to these direct effects, research has suggested that those with low health literacy had </w:t>
      </w:r>
      <w:r w:rsidRPr="003C0223">
        <w:rPr>
          <w:bCs/>
          <w:sz w:val="28"/>
        </w:rPr>
        <w:t xml:space="preserve">increased </w:t>
      </w:r>
      <w:r w:rsidR="00E27F44" w:rsidRPr="00E27F44">
        <w:rPr>
          <w:b/>
          <w:bCs/>
          <w:sz w:val="28"/>
          <w:u w:val="single"/>
        </w:rPr>
        <w:t xml:space="preserve">fear </w:t>
      </w:r>
      <w:r w:rsidRPr="00027638">
        <w:rPr>
          <w:sz w:val="28"/>
        </w:rPr>
        <w:t>about side effects, which can decrease adherence</w:t>
      </w:r>
      <w:r w:rsidRPr="00027638">
        <w:rPr>
          <w:sz w:val="28"/>
          <w:vertAlign w:val="superscript"/>
        </w:rPr>
        <w:t>1</w:t>
      </w:r>
    </w:p>
    <w:p w14:paraId="7AF9F7D1" w14:textId="2A2B90C4" w:rsidR="00027638" w:rsidRPr="003C0223" w:rsidRDefault="003C0223" w:rsidP="003C0223">
      <w:pPr>
        <w:spacing w:line="360" w:lineRule="auto"/>
        <w:contextualSpacing/>
        <w:rPr>
          <w:b/>
          <w:sz w:val="28"/>
        </w:rPr>
      </w:pPr>
      <w:r w:rsidRPr="003C0223">
        <w:rPr>
          <w:b/>
          <w:sz w:val="28"/>
        </w:rPr>
        <w:t>What to do?</w:t>
      </w:r>
    </w:p>
    <w:p w14:paraId="3C5C8FB3" w14:textId="39C94F74" w:rsidR="00027638" w:rsidRPr="00027638" w:rsidRDefault="00027638" w:rsidP="00027638">
      <w:pPr>
        <w:spacing w:line="360" w:lineRule="auto"/>
        <w:contextualSpacing/>
        <w:rPr>
          <w:sz w:val="28"/>
        </w:rPr>
      </w:pPr>
      <w:r w:rsidRPr="00027638">
        <w:rPr>
          <w:sz w:val="28"/>
        </w:rPr>
        <w:t xml:space="preserve">Suggestions to address treatment adherence related to health literacy include: </w:t>
      </w:r>
    </w:p>
    <w:p w14:paraId="460193D7" w14:textId="77777777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>Using language that patients can understand</w:t>
      </w:r>
      <w:r w:rsidRPr="00027638">
        <w:rPr>
          <w:sz w:val="28"/>
          <w:vertAlign w:val="superscript"/>
        </w:rPr>
        <w:t>3</w:t>
      </w:r>
    </w:p>
    <w:p w14:paraId="45917E1D" w14:textId="6635C2E3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 xml:space="preserve">Using </w:t>
      </w:r>
      <w:r w:rsidR="00E27F44" w:rsidRPr="00E27F44">
        <w:rPr>
          <w:b/>
          <w:sz w:val="28"/>
          <w:u w:val="single"/>
        </w:rPr>
        <w:t>teach back</w:t>
      </w:r>
      <w:r w:rsidRPr="00027638">
        <w:rPr>
          <w:sz w:val="28"/>
          <w:vertAlign w:val="superscript"/>
        </w:rPr>
        <w:t>1,3</w:t>
      </w:r>
    </w:p>
    <w:p w14:paraId="79A004A9" w14:textId="77777777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>Limiting the amount of information provided</w:t>
      </w:r>
      <w:r w:rsidRPr="00027638">
        <w:rPr>
          <w:sz w:val="28"/>
          <w:vertAlign w:val="superscript"/>
        </w:rPr>
        <w:t>1</w:t>
      </w:r>
    </w:p>
    <w:p w14:paraId="0ADFB757" w14:textId="7A9C929D" w:rsidR="00AF4C2A" w:rsidRPr="00027638" w:rsidRDefault="00E27F44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E27F44">
        <w:rPr>
          <w:b/>
          <w:sz w:val="28"/>
          <w:u w:val="single"/>
        </w:rPr>
        <w:t>Reinforcing</w:t>
      </w:r>
      <w:r w:rsidR="00991F87" w:rsidRPr="00027638">
        <w:rPr>
          <w:sz w:val="28"/>
        </w:rPr>
        <w:t xml:space="preserve"> messaging over time</w:t>
      </w:r>
      <w:r w:rsidR="00991F87" w:rsidRPr="00027638">
        <w:rPr>
          <w:sz w:val="28"/>
          <w:vertAlign w:val="superscript"/>
        </w:rPr>
        <w:t>3</w:t>
      </w:r>
    </w:p>
    <w:p w14:paraId="43894678" w14:textId="5893067E" w:rsidR="00AF4C2A" w:rsidRPr="00027638" w:rsidRDefault="00991F87" w:rsidP="00027638">
      <w:pPr>
        <w:pStyle w:val="ListParagraph"/>
        <w:numPr>
          <w:ilvl w:val="0"/>
          <w:numId w:val="25"/>
        </w:numPr>
        <w:spacing w:line="360" w:lineRule="auto"/>
        <w:rPr>
          <w:sz w:val="28"/>
        </w:rPr>
      </w:pPr>
      <w:r w:rsidRPr="00027638">
        <w:rPr>
          <w:sz w:val="28"/>
        </w:rPr>
        <w:t xml:space="preserve">Providing materials for </w:t>
      </w:r>
      <w:r w:rsidR="00E27F44" w:rsidRPr="00E27F44">
        <w:rPr>
          <w:b/>
          <w:sz w:val="28"/>
          <w:u w:val="single"/>
        </w:rPr>
        <w:t>future reference</w:t>
      </w:r>
      <w:r w:rsidRPr="00027638">
        <w:rPr>
          <w:sz w:val="28"/>
          <w:vertAlign w:val="superscript"/>
        </w:rPr>
        <w:t xml:space="preserve">1 </w:t>
      </w:r>
    </w:p>
    <w:p w14:paraId="7B311475" w14:textId="67DF145C" w:rsidR="005D7EAF" w:rsidRDefault="005D7EAF" w:rsidP="009E33E0"/>
    <w:p w14:paraId="60377C6E" w14:textId="45FB59A7" w:rsidR="005D7EAF" w:rsidRDefault="00027638" w:rsidP="00E36526">
      <w:pPr>
        <w:jc w:val="center"/>
      </w:pPr>
      <w:bookmarkStart w:id="0" w:name="_GoBack"/>
      <w:r w:rsidRPr="00027638">
        <w:rPr>
          <w:noProof/>
        </w:rPr>
        <w:lastRenderedPageBreak/>
        <w:drawing>
          <wp:inline distT="0" distB="0" distL="0" distR="0" wp14:anchorId="56AB2792" wp14:editId="10FEA1EF">
            <wp:extent cx="6096851" cy="3429479"/>
            <wp:effectExtent l="19050" t="19050" r="18415" b="19050"/>
            <wp:docPr id="1" name="Picture 1" descr="Screenshot of powerpoint slide with take home message. Consider: Which types of medications are most likely to cause confusion among patients? What communication techniques help patients with medication adhera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6A3D0C60" w14:textId="10965A89" w:rsidR="005448A3" w:rsidRDefault="005448A3" w:rsidP="009E33E0"/>
    <w:p w14:paraId="2350234D" w14:textId="017B1764" w:rsidR="00CA0506" w:rsidRDefault="00CA0506" w:rsidP="009E33E0">
      <w:r>
        <w:t xml:space="preserve">References: </w:t>
      </w:r>
    </w:p>
    <w:p w14:paraId="0ADC7EA2" w14:textId="52618BF7" w:rsidR="00E40A99" w:rsidRDefault="00E40A99" w:rsidP="001A4350">
      <w:pPr>
        <w:pStyle w:val="ListParagraph"/>
      </w:pPr>
    </w:p>
    <w:p w14:paraId="4E09D343" w14:textId="77777777" w:rsidR="00AF4C2A" w:rsidRPr="00027638" w:rsidRDefault="00991F87" w:rsidP="00027638">
      <w:pPr>
        <w:pStyle w:val="ListParagraph"/>
        <w:numPr>
          <w:ilvl w:val="0"/>
          <w:numId w:val="18"/>
        </w:numPr>
      </w:pPr>
      <w:r w:rsidRPr="00027638">
        <w:t xml:space="preserve">Soones, T., Lin, J., Wolf, M., </w:t>
      </w:r>
      <w:proofErr w:type="spellStart"/>
      <w:r w:rsidRPr="00027638">
        <w:t>O’Conor</w:t>
      </w:r>
      <w:proofErr w:type="spellEnd"/>
      <w:r w:rsidRPr="00027638">
        <w:t xml:space="preserve">, M., </w:t>
      </w:r>
      <w:proofErr w:type="spellStart"/>
      <w:r w:rsidRPr="00027638">
        <w:t>Martynenko</w:t>
      </w:r>
      <w:proofErr w:type="spellEnd"/>
      <w:r w:rsidRPr="00027638">
        <w:t xml:space="preserve">, M., </w:t>
      </w:r>
      <w:proofErr w:type="spellStart"/>
      <w:r w:rsidRPr="00027638">
        <w:t>Wisnivesky</w:t>
      </w:r>
      <w:proofErr w:type="spellEnd"/>
      <w:r w:rsidRPr="00027638">
        <w:t xml:space="preserve">, J. &amp; </w:t>
      </w:r>
      <w:proofErr w:type="spellStart"/>
      <w:r w:rsidRPr="00027638">
        <w:t>Federman</w:t>
      </w:r>
      <w:proofErr w:type="spellEnd"/>
      <w:r w:rsidRPr="00027638">
        <w:t xml:space="preserve">, A. (2017). Pathways Linking Health Literacy, Health Beliefs, and Cognition to Medication Adherence in Older Adults with Asthma, 139(3), 804-809. </w:t>
      </w:r>
    </w:p>
    <w:p w14:paraId="69FA9D9C" w14:textId="77777777" w:rsidR="00AF4C2A" w:rsidRPr="00027638" w:rsidRDefault="00991F87" w:rsidP="00027638">
      <w:pPr>
        <w:pStyle w:val="ListParagraph"/>
        <w:numPr>
          <w:ilvl w:val="0"/>
          <w:numId w:val="18"/>
        </w:numPr>
      </w:pPr>
      <w:r w:rsidRPr="00027638">
        <w:t xml:space="preserve">Hersh, L., </w:t>
      </w:r>
      <w:proofErr w:type="spellStart"/>
      <w:r w:rsidRPr="00027638">
        <w:t>Salzman</w:t>
      </w:r>
      <w:proofErr w:type="spellEnd"/>
      <w:r w:rsidRPr="00027638">
        <w:t xml:space="preserve">, B., Snyderman, D. (2015). Health Literacy in Primary Care Practice, American Family Physician, 92(2), 119-124. </w:t>
      </w:r>
    </w:p>
    <w:p w14:paraId="4E7D5591" w14:textId="77777777" w:rsidR="00AF4C2A" w:rsidRPr="00027638" w:rsidRDefault="00991F87" w:rsidP="00027638">
      <w:pPr>
        <w:pStyle w:val="ListParagraph"/>
        <w:numPr>
          <w:ilvl w:val="0"/>
          <w:numId w:val="18"/>
        </w:numPr>
      </w:pPr>
      <w:r w:rsidRPr="00027638">
        <w:t>Miller, T. (2017). Health Literacy and Adherence to Medical Treatment in Chronic and Acute Illness: A Meta-Analysis. Patient Education and Counseling, 99(7), 1079-1086.</w:t>
      </w:r>
    </w:p>
    <w:p w14:paraId="39488B18" w14:textId="77777777" w:rsidR="00AF4C2A" w:rsidRPr="00027638" w:rsidRDefault="00991F87" w:rsidP="00027638">
      <w:pPr>
        <w:pStyle w:val="ListParagraph"/>
        <w:numPr>
          <w:ilvl w:val="0"/>
          <w:numId w:val="18"/>
        </w:numPr>
      </w:pPr>
      <w:r w:rsidRPr="00027638">
        <w:t xml:space="preserve">U.S. Food and Drug Administration (2016). Why You Need to Take Your Medications as Prescribed or Instructed. Retrieved from </w:t>
      </w:r>
      <w:hyperlink r:id="rId8" w:history="1">
        <w:r w:rsidRPr="00027638">
          <w:rPr>
            <w:rStyle w:val="Hyperlink"/>
          </w:rPr>
          <w:t>URL to Source</w:t>
        </w:r>
      </w:hyperlink>
    </w:p>
    <w:p w14:paraId="2F0CF561" w14:textId="77777777" w:rsidR="00AF4C2A" w:rsidRPr="00027638" w:rsidRDefault="00991F87" w:rsidP="00027638">
      <w:pPr>
        <w:pStyle w:val="ListParagraph"/>
        <w:numPr>
          <w:ilvl w:val="0"/>
          <w:numId w:val="18"/>
        </w:numPr>
      </w:pPr>
      <w:r w:rsidRPr="00027638">
        <w:t xml:space="preserve">Ferdinand, K., </w:t>
      </w:r>
      <w:proofErr w:type="spellStart"/>
      <w:r w:rsidRPr="00027638">
        <w:t>Senatore</w:t>
      </w:r>
      <w:proofErr w:type="spellEnd"/>
      <w:r w:rsidRPr="00027638">
        <w:t>, F., Clayton-Jeter, H., Cryer, D., Lewin, J., Nasser, S…</w:t>
      </w:r>
      <w:proofErr w:type="spellStart"/>
      <w:r w:rsidRPr="00027638">
        <w:t>Califf</w:t>
      </w:r>
      <w:proofErr w:type="spellEnd"/>
      <w:r w:rsidRPr="00027638">
        <w:t xml:space="preserve">, R. (2017). Improving Medication Adherence in </w:t>
      </w:r>
      <w:proofErr w:type="spellStart"/>
      <w:r w:rsidRPr="00027638">
        <w:t>Cardiometabolic</w:t>
      </w:r>
      <w:proofErr w:type="spellEnd"/>
      <w:r w:rsidRPr="00027638">
        <w:t xml:space="preserve"> Disease: Practical and Regulatory Implications. Journal of the American College of Cardiology, 69(4), 437-451. </w:t>
      </w:r>
    </w:p>
    <w:p w14:paraId="0ED8ABA4" w14:textId="77777777" w:rsidR="00CA0506" w:rsidRDefault="00CA0506" w:rsidP="001A4350">
      <w:pPr>
        <w:pStyle w:val="ListParagraph"/>
      </w:pPr>
    </w:p>
    <w:sectPr w:rsidR="00CA0506" w:rsidSect="00CC111C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6C614" w14:textId="77777777" w:rsidR="00004E82" w:rsidRDefault="00004E82" w:rsidP="00CA0506">
      <w:pPr>
        <w:spacing w:after="0" w:line="240" w:lineRule="auto"/>
      </w:pPr>
      <w:r>
        <w:separator/>
      </w:r>
    </w:p>
  </w:endnote>
  <w:endnote w:type="continuationSeparator" w:id="0">
    <w:p w14:paraId="59B87346" w14:textId="77777777" w:rsidR="00004E82" w:rsidRDefault="00004E82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6715" w14:textId="77777777" w:rsidR="00004E82" w:rsidRDefault="00004E82" w:rsidP="00CA0506">
      <w:pPr>
        <w:spacing w:after="0" w:line="240" w:lineRule="auto"/>
      </w:pPr>
      <w:r>
        <w:separator/>
      </w:r>
    </w:p>
  </w:footnote>
  <w:footnote w:type="continuationSeparator" w:id="0">
    <w:p w14:paraId="6C6BBCFD" w14:textId="77777777" w:rsidR="00004E82" w:rsidRDefault="00004E82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0C3C7E60" w:rsidR="00CA0506" w:rsidRPr="00105A03" w:rsidRDefault="00CA0506" w:rsidP="00105A03">
    <w:pPr>
      <w:pStyle w:val="Header"/>
      <w:jc w:val="center"/>
      <w:rPr>
        <w:b/>
        <w:bCs/>
        <w:i/>
        <w:color w:val="1F3864" w:themeColor="accent1" w:themeShade="8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7832" w14:textId="58AC13A9" w:rsidR="00CC111C" w:rsidRPr="00CC111C" w:rsidRDefault="00CC111C" w:rsidP="00CC111C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Health Literacy Module 7</w:t>
    </w:r>
    <w:r w:rsidRPr="00CC111C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7327546E" w14:textId="77777777" w:rsidR="00CC111C" w:rsidRPr="00CC111C" w:rsidRDefault="00CC111C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501A7"/>
    <w:multiLevelType w:val="hybridMultilevel"/>
    <w:tmpl w:val="AA7C0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31871"/>
    <w:multiLevelType w:val="hybridMultilevel"/>
    <w:tmpl w:val="AF16571E"/>
    <w:lvl w:ilvl="0" w:tplc="A4B40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0A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42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8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CB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E4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E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E7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20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956F0"/>
    <w:multiLevelType w:val="hybridMultilevel"/>
    <w:tmpl w:val="0E72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533E"/>
    <w:multiLevelType w:val="hybridMultilevel"/>
    <w:tmpl w:val="7DFE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5A0D"/>
    <w:multiLevelType w:val="hybridMultilevel"/>
    <w:tmpl w:val="DDF45DF4"/>
    <w:lvl w:ilvl="0" w:tplc="E05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5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C2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AB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EE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E3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67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22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47E60"/>
    <w:multiLevelType w:val="hybridMultilevel"/>
    <w:tmpl w:val="EC4A8236"/>
    <w:lvl w:ilvl="0" w:tplc="E6DC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0E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2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8A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B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4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0D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D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5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31C54"/>
    <w:multiLevelType w:val="hybridMultilevel"/>
    <w:tmpl w:val="0A1C1812"/>
    <w:lvl w:ilvl="0" w:tplc="F450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480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E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C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1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0C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83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22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B90C28"/>
    <w:multiLevelType w:val="hybridMultilevel"/>
    <w:tmpl w:val="0CD0C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2E690B"/>
    <w:multiLevelType w:val="hybridMultilevel"/>
    <w:tmpl w:val="55B2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CF1346"/>
    <w:multiLevelType w:val="hybridMultilevel"/>
    <w:tmpl w:val="29E235B4"/>
    <w:lvl w:ilvl="0" w:tplc="B446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23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65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C1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C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E9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62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A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E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855A7"/>
    <w:multiLevelType w:val="hybridMultilevel"/>
    <w:tmpl w:val="7A546744"/>
    <w:lvl w:ilvl="0" w:tplc="0C3CB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4D9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CB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8A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0A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2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7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23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B214FD"/>
    <w:multiLevelType w:val="hybridMultilevel"/>
    <w:tmpl w:val="AF0C0AE0"/>
    <w:lvl w:ilvl="0" w:tplc="8CD6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82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A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81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8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6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0B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41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A2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3C75"/>
    <w:multiLevelType w:val="hybridMultilevel"/>
    <w:tmpl w:val="3DEA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552F4"/>
    <w:multiLevelType w:val="hybridMultilevel"/>
    <w:tmpl w:val="3BE6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32D7E"/>
    <w:multiLevelType w:val="hybridMultilevel"/>
    <w:tmpl w:val="F1F0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675"/>
    <w:multiLevelType w:val="hybridMultilevel"/>
    <w:tmpl w:val="33BC19CA"/>
    <w:lvl w:ilvl="0" w:tplc="CA362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6D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C8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1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8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AA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1"/>
  </w:num>
  <w:num w:numId="5">
    <w:abstractNumId w:val="0"/>
  </w:num>
  <w:num w:numId="6">
    <w:abstractNumId w:val="22"/>
  </w:num>
  <w:num w:numId="7">
    <w:abstractNumId w:val="24"/>
  </w:num>
  <w:num w:numId="8">
    <w:abstractNumId w:val="16"/>
  </w:num>
  <w:num w:numId="9">
    <w:abstractNumId w:val="20"/>
  </w:num>
  <w:num w:numId="10">
    <w:abstractNumId w:val="8"/>
  </w:num>
  <w:num w:numId="11">
    <w:abstractNumId w:val="19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  <w:num w:numId="16">
    <w:abstractNumId w:val="15"/>
  </w:num>
  <w:num w:numId="17">
    <w:abstractNumId w:val="4"/>
  </w:num>
  <w:num w:numId="18">
    <w:abstractNumId w:val="2"/>
  </w:num>
  <w:num w:numId="19">
    <w:abstractNumId w:val="12"/>
  </w:num>
  <w:num w:numId="20">
    <w:abstractNumId w:val="21"/>
  </w:num>
  <w:num w:numId="21">
    <w:abstractNumId w:val="1"/>
  </w:num>
  <w:num w:numId="22">
    <w:abstractNumId w:val="7"/>
  </w:num>
  <w:num w:numId="23">
    <w:abstractNumId w:val="23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04E82"/>
    <w:rsid w:val="00027638"/>
    <w:rsid w:val="00073112"/>
    <w:rsid w:val="000C27D1"/>
    <w:rsid w:val="000D5A7F"/>
    <w:rsid w:val="00103723"/>
    <w:rsid w:val="00105A03"/>
    <w:rsid w:val="001603BF"/>
    <w:rsid w:val="00184881"/>
    <w:rsid w:val="001A4350"/>
    <w:rsid w:val="001C64A1"/>
    <w:rsid w:val="002303F9"/>
    <w:rsid w:val="00257A8D"/>
    <w:rsid w:val="002802F3"/>
    <w:rsid w:val="00323E24"/>
    <w:rsid w:val="00343B50"/>
    <w:rsid w:val="0038462B"/>
    <w:rsid w:val="003A74BA"/>
    <w:rsid w:val="003C0223"/>
    <w:rsid w:val="0049222B"/>
    <w:rsid w:val="00497577"/>
    <w:rsid w:val="004E044B"/>
    <w:rsid w:val="005448A3"/>
    <w:rsid w:val="005D7EAF"/>
    <w:rsid w:val="0060699E"/>
    <w:rsid w:val="00691C30"/>
    <w:rsid w:val="006D072A"/>
    <w:rsid w:val="006D1FD6"/>
    <w:rsid w:val="007A781E"/>
    <w:rsid w:val="007B4155"/>
    <w:rsid w:val="007D03C9"/>
    <w:rsid w:val="008049A3"/>
    <w:rsid w:val="00853D70"/>
    <w:rsid w:val="00910CFA"/>
    <w:rsid w:val="00985E1D"/>
    <w:rsid w:val="00991F87"/>
    <w:rsid w:val="009E33E0"/>
    <w:rsid w:val="00A23490"/>
    <w:rsid w:val="00A90914"/>
    <w:rsid w:val="00AA1182"/>
    <w:rsid w:val="00AB586D"/>
    <w:rsid w:val="00AD14FA"/>
    <w:rsid w:val="00AD1DE1"/>
    <w:rsid w:val="00AF1BB9"/>
    <w:rsid w:val="00AF4C2A"/>
    <w:rsid w:val="00AF55DA"/>
    <w:rsid w:val="00B13651"/>
    <w:rsid w:val="00B14FA9"/>
    <w:rsid w:val="00B47991"/>
    <w:rsid w:val="00BC56B5"/>
    <w:rsid w:val="00CA0506"/>
    <w:rsid w:val="00CC111C"/>
    <w:rsid w:val="00D542C9"/>
    <w:rsid w:val="00DF0FE7"/>
    <w:rsid w:val="00E22441"/>
    <w:rsid w:val="00E27F44"/>
    <w:rsid w:val="00E36526"/>
    <w:rsid w:val="00E36595"/>
    <w:rsid w:val="00E40A99"/>
    <w:rsid w:val="00E71116"/>
    <w:rsid w:val="00E84856"/>
    <w:rsid w:val="00E959DC"/>
    <w:rsid w:val="00EC1670"/>
    <w:rsid w:val="00ED3044"/>
    <w:rsid w:val="00F73735"/>
    <w:rsid w:val="00F87EBD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C11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2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51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9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0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5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3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6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drugs/special-features/why-you-need-take-your-medications-prescribed-or-instruc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5</cp:revision>
  <dcterms:created xsi:type="dcterms:W3CDTF">2019-09-13T16:12:00Z</dcterms:created>
  <dcterms:modified xsi:type="dcterms:W3CDTF">2019-10-24T17:31:00Z</dcterms:modified>
</cp:coreProperties>
</file>