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54A41" w14:textId="7ADB5348" w:rsidR="006E5B6B" w:rsidRPr="006E5B6B" w:rsidRDefault="006E5B6B" w:rsidP="005448A3">
      <w:pPr>
        <w:spacing w:line="360" w:lineRule="auto"/>
        <w:contextualSpacing/>
        <w:rPr>
          <w:b/>
          <w:sz w:val="28"/>
        </w:rPr>
      </w:pPr>
      <w:r w:rsidRPr="006E5B6B">
        <w:rPr>
          <w:b/>
          <w:sz w:val="28"/>
        </w:rPr>
        <w:t>What is Numeracy?</w:t>
      </w:r>
    </w:p>
    <w:p w14:paraId="02788309" w14:textId="1B1E6712" w:rsidR="000D5A7F" w:rsidRDefault="006E5B6B" w:rsidP="005448A3">
      <w:pPr>
        <w:spacing w:line="360" w:lineRule="auto"/>
        <w:contextualSpacing/>
        <w:rPr>
          <w:sz w:val="28"/>
          <w:vertAlign w:val="superscript"/>
        </w:rPr>
      </w:pPr>
      <w:r>
        <w:rPr>
          <w:sz w:val="28"/>
        </w:rPr>
        <w:t xml:space="preserve">Numeracy </w:t>
      </w:r>
      <w:r w:rsidR="000D5A7F" w:rsidRPr="005448A3">
        <w:rPr>
          <w:sz w:val="28"/>
        </w:rPr>
        <w:t xml:space="preserve">is “the ability to </w:t>
      </w:r>
      <w:r w:rsidR="000D5A7F" w:rsidRPr="005448A3">
        <w:rPr>
          <w:bCs/>
          <w:sz w:val="28"/>
        </w:rPr>
        <w:t>comprehend</w:t>
      </w:r>
      <w:r w:rsidR="000D5A7F" w:rsidRPr="005448A3">
        <w:rPr>
          <w:sz w:val="28"/>
        </w:rPr>
        <w:t xml:space="preserve">, </w:t>
      </w:r>
      <w:r w:rsidR="000D5A7F" w:rsidRPr="005448A3">
        <w:rPr>
          <w:bCs/>
          <w:sz w:val="28"/>
        </w:rPr>
        <w:t>use</w:t>
      </w:r>
      <w:r w:rsidR="000D5A7F" w:rsidRPr="005448A3">
        <w:rPr>
          <w:sz w:val="28"/>
        </w:rPr>
        <w:t xml:space="preserve">, and </w:t>
      </w:r>
      <w:r>
        <w:rPr>
          <w:bCs/>
          <w:sz w:val="28"/>
        </w:rPr>
        <w:t>________________________</w:t>
      </w:r>
      <w:r w:rsidR="000D5A7F" w:rsidRPr="005448A3">
        <w:rPr>
          <w:sz w:val="28"/>
        </w:rPr>
        <w:t xml:space="preserve"> to </w:t>
      </w:r>
      <w:r w:rsidR="000D5A7F" w:rsidRPr="005448A3">
        <w:rPr>
          <w:bCs/>
          <w:sz w:val="28"/>
        </w:rPr>
        <w:t>numbers</w:t>
      </w:r>
      <w:r w:rsidR="000D5A7F" w:rsidRPr="005448A3">
        <w:rPr>
          <w:sz w:val="28"/>
        </w:rPr>
        <w:t>”</w:t>
      </w:r>
      <w:r w:rsidR="000D5A7F" w:rsidRPr="005448A3">
        <w:rPr>
          <w:sz w:val="28"/>
          <w:vertAlign w:val="superscript"/>
        </w:rPr>
        <w:t>3</w:t>
      </w:r>
    </w:p>
    <w:p w14:paraId="1AA27443" w14:textId="77777777" w:rsidR="006E5B6B" w:rsidRDefault="006E5B6B" w:rsidP="005448A3">
      <w:pPr>
        <w:spacing w:line="360" w:lineRule="auto"/>
        <w:contextualSpacing/>
        <w:rPr>
          <w:b/>
          <w:sz w:val="28"/>
        </w:rPr>
      </w:pPr>
    </w:p>
    <w:p w14:paraId="2E90B88B" w14:textId="04A3CAA9" w:rsidR="005448A3" w:rsidRPr="006E5B6B" w:rsidRDefault="006E5B6B" w:rsidP="005448A3">
      <w:pPr>
        <w:spacing w:line="360" w:lineRule="auto"/>
        <w:contextualSpacing/>
        <w:rPr>
          <w:b/>
          <w:sz w:val="28"/>
        </w:rPr>
      </w:pPr>
      <w:r w:rsidRPr="006E5B6B">
        <w:rPr>
          <w:b/>
          <w:sz w:val="28"/>
        </w:rPr>
        <w:t>Health Literacy in the U.S.</w:t>
      </w:r>
    </w:p>
    <w:p w14:paraId="29DFEE84" w14:textId="01047A33" w:rsidR="000D5A7F" w:rsidRDefault="000D5A7F" w:rsidP="005448A3">
      <w:pPr>
        <w:spacing w:line="360" w:lineRule="auto"/>
        <w:contextualSpacing/>
        <w:rPr>
          <w:sz w:val="28"/>
          <w:vertAlign w:val="superscript"/>
        </w:rPr>
      </w:pPr>
      <w:r w:rsidRPr="005448A3">
        <w:rPr>
          <w:sz w:val="28"/>
        </w:rPr>
        <w:t>The 2003 National Assessment of Adult Literacy found that 22% of English-speaking adults in the United States had __________________________________ quantitative skills</w:t>
      </w:r>
      <w:r w:rsidRPr="005448A3">
        <w:rPr>
          <w:sz w:val="28"/>
          <w:vertAlign w:val="superscript"/>
        </w:rPr>
        <w:t>6</w:t>
      </w:r>
    </w:p>
    <w:p w14:paraId="2CA57BC7" w14:textId="77777777" w:rsidR="006E5B6B" w:rsidRDefault="006E5B6B" w:rsidP="005448A3">
      <w:pPr>
        <w:spacing w:line="360" w:lineRule="auto"/>
        <w:contextualSpacing/>
        <w:rPr>
          <w:b/>
          <w:sz w:val="28"/>
        </w:rPr>
      </w:pPr>
    </w:p>
    <w:p w14:paraId="23D0B7DE" w14:textId="67D9E14F" w:rsidR="005448A3" w:rsidRPr="006E5B6B" w:rsidRDefault="006E5B6B" w:rsidP="005448A3">
      <w:pPr>
        <w:spacing w:line="360" w:lineRule="auto"/>
        <w:contextualSpacing/>
        <w:rPr>
          <w:b/>
          <w:sz w:val="28"/>
        </w:rPr>
      </w:pPr>
      <w:r w:rsidRPr="006E5B6B">
        <w:rPr>
          <w:b/>
          <w:sz w:val="28"/>
        </w:rPr>
        <w:t>Why is Numeracy Important?</w:t>
      </w:r>
    </w:p>
    <w:p w14:paraId="31FD81A5" w14:textId="192A821D" w:rsidR="000D5A7F" w:rsidRDefault="000D5A7F" w:rsidP="005448A3">
      <w:pPr>
        <w:spacing w:line="360" w:lineRule="auto"/>
        <w:contextualSpacing/>
        <w:rPr>
          <w:sz w:val="28"/>
          <w:vertAlign w:val="superscript"/>
        </w:rPr>
      </w:pPr>
      <w:r w:rsidRPr="005448A3">
        <w:rPr>
          <w:sz w:val="28"/>
        </w:rPr>
        <w:t xml:space="preserve">Those with low numeracy may have trouble following </w:t>
      </w:r>
      <w:r w:rsidR="005448A3" w:rsidRPr="005448A3">
        <w:rPr>
          <w:sz w:val="28"/>
        </w:rPr>
        <w:t>_______________________</w:t>
      </w:r>
      <w:r w:rsidRPr="005448A3">
        <w:rPr>
          <w:sz w:val="28"/>
        </w:rPr>
        <w:t>, leading to poorer health outcomes</w:t>
      </w:r>
      <w:r w:rsidRPr="005448A3">
        <w:rPr>
          <w:sz w:val="28"/>
          <w:vertAlign w:val="superscript"/>
        </w:rPr>
        <w:t>6</w:t>
      </w:r>
    </w:p>
    <w:p w14:paraId="0ECE55F0" w14:textId="77777777" w:rsidR="005448A3" w:rsidRDefault="005448A3" w:rsidP="005448A3">
      <w:pPr>
        <w:spacing w:line="360" w:lineRule="auto"/>
        <w:contextualSpacing/>
        <w:rPr>
          <w:sz w:val="28"/>
          <w:vertAlign w:val="superscript"/>
        </w:rPr>
      </w:pPr>
    </w:p>
    <w:p w14:paraId="0BD74211" w14:textId="33745B48" w:rsidR="005448A3" w:rsidRPr="006E5B6B" w:rsidRDefault="005448A3" w:rsidP="005448A3">
      <w:pPr>
        <w:spacing w:line="360" w:lineRule="auto"/>
        <w:contextualSpacing/>
        <w:rPr>
          <w:b/>
          <w:sz w:val="28"/>
        </w:rPr>
      </w:pPr>
      <w:r w:rsidRPr="006E5B6B">
        <w:rPr>
          <w:b/>
          <w:sz w:val="28"/>
        </w:rPr>
        <w:t xml:space="preserve">Better ways to communicate the numbers: </w:t>
      </w:r>
    </w:p>
    <w:p w14:paraId="11DEB000" w14:textId="0984930E" w:rsidR="005448A3" w:rsidRDefault="005448A3" w:rsidP="005448A3">
      <w:pPr>
        <w:pStyle w:val="ListParagraph"/>
        <w:numPr>
          <w:ilvl w:val="0"/>
          <w:numId w:val="17"/>
        </w:numPr>
        <w:spacing w:line="360" w:lineRule="auto"/>
        <w:rPr>
          <w:sz w:val="28"/>
        </w:rPr>
      </w:pPr>
      <w:r w:rsidRPr="005448A3">
        <w:rPr>
          <w:sz w:val="28"/>
        </w:rPr>
        <w:t>Elaborate by providing estimated numbers</w:t>
      </w:r>
    </w:p>
    <w:p w14:paraId="3E0A4698" w14:textId="4EBC4957" w:rsidR="005448A3" w:rsidRDefault="005448A3" w:rsidP="005448A3">
      <w:pPr>
        <w:pStyle w:val="ListParagraph"/>
        <w:numPr>
          <w:ilvl w:val="0"/>
          <w:numId w:val="17"/>
        </w:numPr>
        <w:spacing w:line="360" w:lineRule="auto"/>
        <w:rPr>
          <w:sz w:val="28"/>
        </w:rPr>
      </w:pPr>
      <w:r w:rsidRPr="005448A3">
        <w:rPr>
          <w:sz w:val="28"/>
        </w:rPr>
        <w:t xml:space="preserve">Use </w:t>
      </w:r>
      <w:r>
        <w:rPr>
          <w:sz w:val="28"/>
        </w:rPr>
        <w:t>_________________</w:t>
      </w:r>
      <w:r w:rsidRPr="005448A3">
        <w:rPr>
          <w:sz w:val="28"/>
        </w:rPr>
        <w:t xml:space="preserve"> instead of decimals or percentages</w:t>
      </w:r>
    </w:p>
    <w:p w14:paraId="40C5CD77" w14:textId="64A7C4F5" w:rsidR="005448A3" w:rsidRDefault="005448A3" w:rsidP="005448A3">
      <w:pPr>
        <w:pStyle w:val="ListParagraph"/>
        <w:numPr>
          <w:ilvl w:val="0"/>
          <w:numId w:val="17"/>
        </w:numPr>
        <w:spacing w:line="360" w:lineRule="auto"/>
        <w:rPr>
          <w:sz w:val="28"/>
        </w:rPr>
      </w:pPr>
      <w:r w:rsidRPr="005448A3">
        <w:rPr>
          <w:sz w:val="28"/>
        </w:rPr>
        <w:t xml:space="preserve">Keep </w:t>
      </w:r>
      <w:r>
        <w:rPr>
          <w:sz w:val="28"/>
        </w:rPr>
        <w:t>______________________</w:t>
      </w:r>
      <w:r w:rsidRPr="005448A3">
        <w:rPr>
          <w:sz w:val="28"/>
        </w:rPr>
        <w:t>and timeframes the same when you compare numbers</w:t>
      </w:r>
    </w:p>
    <w:p w14:paraId="2EA515F4" w14:textId="276D3C94" w:rsidR="005448A3" w:rsidRDefault="005448A3" w:rsidP="005448A3">
      <w:pPr>
        <w:pStyle w:val="ListParagraph"/>
        <w:numPr>
          <w:ilvl w:val="0"/>
          <w:numId w:val="17"/>
        </w:numPr>
        <w:spacing w:line="360" w:lineRule="auto"/>
        <w:rPr>
          <w:sz w:val="28"/>
        </w:rPr>
      </w:pPr>
      <w:r w:rsidRPr="005448A3">
        <w:rPr>
          <w:sz w:val="28"/>
        </w:rPr>
        <w:t xml:space="preserve">Give </w:t>
      </w:r>
      <w:r>
        <w:rPr>
          <w:sz w:val="28"/>
        </w:rPr>
        <w:t>_____________________</w:t>
      </w:r>
      <w:r w:rsidRPr="005448A3">
        <w:rPr>
          <w:sz w:val="28"/>
        </w:rPr>
        <w:t xml:space="preserve"> risk instead of relative risk</w:t>
      </w:r>
    </w:p>
    <w:p w14:paraId="620F083B" w14:textId="73C5BFC5" w:rsidR="005D7EAF" w:rsidRPr="00AC6FC7" w:rsidRDefault="005448A3" w:rsidP="009E33E0">
      <w:pPr>
        <w:pStyle w:val="ListParagraph"/>
        <w:numPr>
          <w:ilvl w:val="0"/>
          <w:numId w:val="17"/>
        </w:numPr>
        <w:spacing w:line="360" w:lineRule="auto"/>
        <w:rPr>
          <w:sz w:val="28"/>
        </w:rPr>
      </w:pPr>
      <w:r w:rsidRPr="005448A3">
        <w:rPr>
          <w:sz w:val="28"/>
        </w:rPr>
        <w:t xml:space="preserve">Frame </w:t>
      </w:r>
      <w:r>
        <w:rPr>
          <w:sz w:val="28"/>
        </w:rPr>
        <w:t>_________________</w:t>
      </w:r>
      <w:r w:rsidRPr="005448A3">
        <w:rPr>
          <w:sz w:val="28"/>
        </w:rPr>
        <w:t xml:space="preserve"> in both positive and negative terms</w:t>
      </w:r>
    </w:p>
    <w:p w14:paraId="3E3DC731" w14:textId="6DD6EC40" w:rsidR="005D7EAF" w:rsidRDefault="005D7EAF" w:rsidP="009E33E0"/>
    <w:p w14:paraId="2C91F574" w14:textId="1012D65F" w:rsidR="005D7EAF" w:rsidRDefault="006E5B6B" w:rsidP="00AC6FC7">
      <w:pPr>
        <w:jc w:val="center"/>
      </w:pPr>
      <w:r w:rsidRPr="000D5A7F">
        <w:rPr>
          <w:noProof/>
        </w:rPr>
        <w:lastRenderedPageBreak/>
        <w:drawing>
          <wp:inline distT="0" distB="0" distL="0" distR="0" wp14:anchorId="49E657F1" wp14:editId="24C89FF4">
            <wp:extent cx="5542915" cy="3117850"/>
            <wp:effectExtent l="19050" t="19050" r="19685" b="25400"/>
            <wp:docPr id="1" name="Picture 1" descr="Screenshot of powerpoint slide with take home message. Consider: Which numerical messages are hardest to convey to patients? Can any of these suggestions help? Practice: The next time you need to communicate numerical information to a patient, consider which of these suggestions will increase understa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42915" cy="3117850"/>
                    </a:xfrm>
                    <a:prstGeom prst="rect">
                      <a:avLst/>
                    </a:prstGeom>
                    <a:ln>
                      <a:solidFill>
                        <a:sysClr val="windowText" lastClr="000000"/>
                      </a:solidFill>
                    </a:ln>
                  </pic:spPr>
                </pic:pic>
              </a:graphicData>
            </a:graphic>
          </wp:inline>
        </w:drawing>
      </w:r>
    </w:p>
    <w:p w14:paraId="2B1CE7DE" w14:textId="77777777" w:rsidR="00AC6FC7" w:rsidRDefault="00AC6FC7" w:rsidP="009E33E0"/>
    <w:p w14:paraId="2350234D" w14:textId="045AD152" w:rsidR="00CA0506" w:rsidRDefault="00CA0506" w:rsidP="009E33E0">
      <w:r>
        <w:t xml:space="preserve">References: </w:t>
      </w:r>
    </w:p>
    <w:p w14:paraId="0ADC7EA2" w14:textId="52618BF7" w:rsidR="00E40A99" w:rsidRDefault="00E40A99" w:rsidP="001A4350">
      <w:pPr>
        <w:pStyle w:val="ListParagraph"/>
      </w:pPr>
    </w:p>
    <w:p w14:paraId="3A59DF6C" w14:textId="31D8D016" w:rsidR="00705757" w:rsidRPr="000D5A7F" w:rsidRDefault="00F87EBD" w:rsidP="000D5A7F">
      <w:pPr>
        <w:pStyle w:val="ListParagraph"/>
        <w:numPr>
          <w:ilvl w:val="0"/>
          <w:numId w:val="16"/>
        </w:numPr>
      </w:pPr>
      <w:r w:rsidRPr="000D5A7F">
        <w:t xml:space="preserve">Agency for Healthcare Research and Quality (2016). Communicating Numbers to Your Patients: A Reference Guide for Health Care Providers. Retrieved from: </w:t>
      </w:r>
      <w:hyperlink r:id="rId8" w:history="1">
        <w:r w:rsidRPr="000D5A7F">
          <w:rPr>
            <w:rStyle w:val="Hyperlink"/>
          </w:rPr>
          <w:t>URL to Source</w:t>
        </w:r>
      </w:hyperlink>
    </w:p>
    <w:p w14:paraId="24DD0781" w14:textId="77777777" w:rsidR="00705757" w:rsidRPr="000D5A7F" w:rsidRDefault="00F87EBD" w:rsidP="000D5A7F">
      <w:pPr>
        <w:pStyle w:val="ListParagraph"/>
        <w:numPr>
          <w:ilvl w:val="0"/>
          <w:numId w:val="16"/>
        </w:numPr>
      </w:pPr>
      <w:proofErr w:type="spellStart"/>
      <w:r w:rsidRPr="000D5A7F">
        <w:t>Fagerlin</w:t>
      </w:r>
      <w:proofErr w:type="spellEnd"/>
      <w:r w:rsidRPr="000D5A7F">
        <w:t xml:space="preserve">, A, </w:t>
      </w:r>
      <w:proofErr w:type="spellStart"/>
      <w:r w:rsidRPr="000D5A7F">
        <w:t>Zikmund</w:t>
      </w:r>
      <w:proofErr w:type="spellEnd"/>
      <w:r w:rsidRPr="000D5A7F">
        <w:t xml:space="preserve">-Fisher, J. &amp; </w:t>
      </w:r>
      <w:proofErr w:type="spellStart"/>
      <w:r w:rsidRPr="000D5A7F">
        <w:t>Ubel</w:t>
      </w:r>
      <w:proofErr w:type="spellEnd"/>
      <w:r w:rsidRPr="000D5A7F">
        <w:t xml:space="preserve">, P. (2011). Helping Patients Decide: Ten Steps to Better Risk Communication. Journal of the National Cancer Institute, 103, 1436-1443. </w:t>
      </w:r>
      <w:proofErr w:type="spellStart"/>
      <w:r w:rsidRPr="000D5A7F">
        <w:t>doi</w:t>
      </w:r>
      <w:proofErr w:type="spellEnd"/>
      <w:r w:rsidRPr="000D5A7F">
        <w:t>: 10.1093/</w:t>
      </w:r>
      <w:proofErr w:type="spellStart"/>
      <w:r w:rsidRPr="000D5A7F">
        <w:t>jnci</w:t>
      </w:r>
      <w:proofErr w:type="spellEnd"/>
      <w:r w:rsidRPr="000D5A7F">
        <w:t>/djr318</w:t>
      </w:r>
    </w:p>
    <w:p w14:paraId="4E75AE76" w14:textId="77777777" w:rsidR="00705757" w:rsidRPr="000D5A7F" w:rsidRDefault="00F87EBD" w:rsidP="000D5A7F">
      <w:pPr>
        <w:pStyle w:val="ListParagraph"/>
        <w:numPr>
          <w:ilvl w:val="0"/>
          <w:numId w:val="16"/>
        </w:numPr>
      </w:pPr>
      <w:r w:rsidRPr="000D5A7F">
        <w:t xml:space="preserve">Food and Drug Administration (2011). Communicating Risks and Benefits: an Evidence-Based User Guide. </w:t>
      </w:r>
      <w:proofErr w:type="spellStart"/>
      <w:r w:rsidRPr="000D5A7F">
        <w:t>Fischhoff</w:t>
      </w:r>
      <w:proofErr w:type="spellEnd"/>
      <w:r w:rsidRPr="000D5A7F">
        <w:t xml:space="preserve">, B., Brewer, N., Downs, J. (Eds.). Retrieved from: </w:t>
      </w:r>
      <w:hyperlink r:id="rId9" w:history="1">
        <w:r w:rsidRPr="000D5A7F">
          <w:rPr>
            <w:rStyle w:val="Hyperlink"/>
          </w:rPr>
          <w:t xml:space="preserve">URL to Source </w:t>
        </w:r>
      </w:hyperlink>
    </w:p>
    <w:p w14:paraId="13B2D377" w14:textId="77777777" w:rsidR="00705757" w:rsidRPr="000D5A7F" w:rsidRDefault="00F87EBD" w:rsidP="000D5A7F">
      <w:pPr>
        <w:pStyle w:val="ListParagraph"/>
        <w:numPr>
          <w:ilvl w:val="0"/>
          <w:numId w:val="16"/>
        </w:numPr>
      </w:pPr>
      <w:r w:rsidRPr="000D5A7F">
        <w:t xml:space="preserve">Paling, J. (2003). Strategies to Help Patients Understand Risks. British medical Journal, 237, 745-748. doi:10.1136/bmj.327.7417.745 </w:t>
      </w:r>
    </w:p>
    <w:p w14:paraId="4E67339A" w14:textId="77777777" w:rsidR="00705757" w:rsidRPr="000D5A7F" w:rsidRDefault="00F87EBD" w:rsidP="000D5A7F">
      <w:pPr>
        <w:pStyle w:val="ListParagraph"/>
        <w:numPr>
          <w:ilvl w:val="0"/>
          <w:numId w:val="16"/>
        </w:numPr>
      </w:pPr>
      <w:r w:rsidRPr="000D5A7F">
        <w:t xml:space="preserve">Pleasant, A., Rooney, C., O’Leary, L., Myers, L. &amp; Rudd, R. (2016). Strategies to Enhance Numeracy Skills. Discussion Paper, National Academy of Medicine, Washington DC. doi:10.31478/201605b </w:t>
      </w:r>
    </w:p>
    <w:p w14:paraId="68337DB3" w14:textId="77777777" w:rsidR="00705757" w:rsidRPr="000D5A7F" w:rsidRDefault="00F87EBD" w:rsidP="000D5A7F">
      <w:pPr>
        <w:pStyle w:val="ListParagraph"/>
        <w:numPr>
          <w:ilvl w:val="0"/>
          <w:numId w:val="16"/>
        </w:numPr>
      </w:pPr>
      <w:r w:rsidRPr="000D5A7F">
        <w:t xml:space="preserve">Reyna, V., Nelson, W., Han, P., </w:t>
      </w:r>
      <w:proofErr w:type="spellStart"/>
      <w:r w:rsidRPr="000D5A7F">
        <w:t>Dieckmann</w:t>
      </w:r>
      <w:proofErr w:type="spellEnd"/>
      <w:r w:rsidRPr="000D5A7F">
        <w:t>, N. (2009). How Numeracy Influences risk comprehension and Medical Decision Making. Psychological Bulletin, 135(6), 943-973. doi:10.1037/a0017327</w:t>
      </w:r>
    </w:p>
    <w:p w14:paraId="1A6A254E" w14:textId="77777777" w:rsidR="00705757" w:rsidRPr="000D5A7F" w:rsidRDefault="00F87EBD" w:rsidP="000D5A7F">
      <w:pPr>
        <w:pStyle w:val="ListParagraph"/>
        <w:numPr>
          <w:ilvl w:val="0"/>
          <w:numId w:val="16"/>
        </w:numPr>
      </w:pPr>
      <w:proofErr w:type="spellStart"/>
      <w:r w:rsidRPr="000D5A7F">
        <w:t>Tanne</w:t>
      </w:r>
      <w:proofErr w:type="spellEnd"/>
      <w:r w:rsidRPr="000D5A7F">
        <w:t>, J. (2008). Pfizer Ends Advertisements Featuring Inventor of Artificial Heart. British Medical Journal, 336(7643), 525. doi:10.1136/bmj.39509.764144.C2.</w:t>
      </w:r>
    </w:p>
    <w:p w14:paraId="7525DCAD" w14:textId="77777777" w:rsidR="00705757" w:rsidRPr="000D5A7F" w:rsidRDefault="00F87EBD" w:rsidP="000D5A7F">
      <w:pPr>
        <w:pStyle w:val="ListParagraph"/>
        <w:numPr>
          <w:ilvl w:val="0"/>
          <w:numId w:val="16"/>
        </w:numPr>
      </w:pPr>
      <w:r w:rsidRPr="000D5A7F">
        <w:t xml:space="preserve">U.S. Department of Education (2006). The Health Literacy of America’s Adults: Results from the 2003 National Assessment of Adult Literacy. Retrieved from: </w:t>
      </w:r>
      <w:hyperlink r:id="rId10" w:history="1">
        <w:r w:rsidRPr="000D5A7F">
          <w:rPr>
            <w:rStyle w:val="Hyperlink"/>
          </w:rPr>
          <w:t>URL to Source</w:t>
        </w:r>
      </w:hyperlink>
    </w:p>
    <w:p w14:paraId="0ED8ABA4" w14:textId="77777777" w:rsidR="00CA0506" w:rsidRDefault="00CA0506" w:rsidP="001A4350">
      <w:pPr>
        <w:pStyle w:val="ListParagraph"/>
      </w:pPr>
      <w:bookmarkStart w:id="0" w:name="_GoBack"/>
      <w:bookmarkEnd w:id="0"/>
    </w:p>
    <w:sectPr w:rsidR="00CA0506" w:rsidSect="000D7BD2">
      <w:headerReference w:type="default"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0FE07" w14:textId="77777777" w:rsidR="004B5844" w:rsidRDefault="004B5844" w:rsidP="00CA0506">
      <w:pPr>
        <w:spacing w:after="0" w:line="240" w:lineRule="auto"/>
      </w:pPr>
      <w:r>
        <w:separator/>
      </w:r>
    </w:p>
  </w:endnote>
  <w:endnote w:type="continuationSeparator" w:id="0">
    <w:p w14:paraId="6D3D4558" w14:textId="77777777" w:rsidR="004B5844" w:rsidRDefault="004B5844"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38BFC" w14:textId="07B784B4" w:rsidR="00091760" w:rsidRPr="00091760" w:rsidRDefault="00091760" w:rsidP="00091760">
    <w:pPr>
      <w:spacing w:after="0" w:line="240" w:lineRule="auto"/>
      <w:jc w:val="center"/>
      <w:rPr>
        <w:rFonts w:ascii="Times New Roman" w:eastAsia="Times New Roman" w:hAnsi="Times New Roman" w:cs="Times New Roman"/>
        <w:sz w:val="20"/>
        <w:szCs w:val="24"/>
      </w:rPr>
    </w:pPr>
    <w:r w:rsidRPr="00091760">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AA6E2" w14:textId="77777777" w:rsidR="004B5844" w:rsidRDefault="004B5844" w:rsidP="00CA0506">
      <w:pPr>
        <w:spacing w:after="0" w:line="240" w:lineRule="auto"/>
      </w:pPr>
      <w:r>
        <w:separator/>
      </w:r>
    </w:p>
  </w:footnote>
  <w:footnote w:type="continuationSeparator" w:id="0">
    <w:p w14:paraId="630F5077" w14:textId="77777777" w:rsidR="004B5844" w:rsidRDefault="004B5844"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0044AD46" w:rsidR="00CA0506" w:rsidRPr="00216654" w:rsidRDefault="00CA0506" w:rsidP="00216654">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58BD" w14:textId="77D1846F" w:rsidR="000D7BD2" w:rsidRPr="000D7BD2" w:rsidRDefault="00AE2E92" w:rsidP="000D7BD2">
    <w:pPr>
      <w:pStyle w:val="Header"/>
      <w:jc w:val="center"/>
      <w:rPr>
        <w:b/>
        <w:bCs/>
        <w:iCs/>
        <w:color w:val="2E74B5" w:themeColor="accent5" w:themeShade="BF"/>
        <w:sz w:val="60"/>
        <w:szCs w:val="60"/>
      </w:rPr>
    </w:pPr>
    <w:r>
      <w:rPr>
        <w:b/>
        <w:bCs/>
        <w:iCs/>
        <w:color w:val="2E74B5" w:themeColor="accent5" w:themeShade="BF"/>
        <w:sz w:val="60"/>
        <w:szCs w:val="60"/>
      </w:rPr>
      <w:t>Health Literacy Module 6</w:t>
    </w:r>
    <w:r w:rsidR="000D7BD2" w:rsidRPr="000D7BD2">
      <w:rPr>
        <w:b/>
        <w:bCs/>
        <w:iCs/>
        <w:color w:val="2E74B5" w:themeColor="accent5" w:themeShade="BF"/>
        <w:sz w:val="60"/>
        <w:szCs w:val="60"/>
      </w:rPr>
      <w:t xml:space="preserve"> Key Concepts Handout</w:t>
    </w:r>
  </w:p>
  <w:p w14:paraId="4C94476A" w14:textId="77777777" w:rsidR="000D7BD2" w:rsidRPr="000D7BD2" w:rsidRDefault="000D7BD2">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77956F0"/>
    <w:multiLevelType w:val="hybridMultilevel"/>
    <w:tmpl w:val="0E72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2533E"/>
    <w:multiLevelType w:val="hybridMultilevel"/>
    <w:tmpl w:val="7DFE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95A0D"/>
    <w:multiLevelType w:val="hybridMultilevel"/>
    <w:tmpl w:val="DDF45DF4"/>
    <w:lvl w:ilvl="0" w:tplc="E05E016E">
      <w:start w:val="1"/>
      <w:numFmt w:val="decimal"/>
      <w:lvlText w:val="%1."/>
      <w:lvlJc w:val="left"/>
      <w:pPr>
        <w:tabs>
          <w:tab w:val="num" w:pos="720"/>
        </w:tabs>
        <w:ind w:left="720" w:hanging="360"/>
      </w:pPr>
    </w:lvl>
    <w:lvl w:ilvl="1" w:tplc="1C7E500E" w:tentative="1">
      <w:start w:val="1"/>
      <w:numFmt w:val="decimal"/>
      <w:lvlText w:val="%2."/>
      <w:lvlJc w:val="left"/>
      <w:pPr>
        <w:tabs>
          <w:tab w:val="num" w:pos="1440"/>
        </w:tabs>
        <w:ind w:left="1440" w:hanging="360"/>
      </w:pPr>
    </w:lvl>
    <w:lvl w:ilvl="2" w:tplc="A09C28A4" w:tentative="1">
      <w:start w:val="1"/>
      <w:numFmt w:val="decimal"/>
      <w:lvlText w:val="%3."/>
      <w:lvlJc w:val="left"/>
      <w:pPr>
        <w:tabs>
          <w:tab w:val="num" w:pos="2160"/>
        </w:tabs>
        <w:ind w:left="2160" w:hanging="360"/>
      </w:pPr>
    </w:lvl>
    <w:lvl w:ilvl="3" w:tplc="A84AB294" w:tentative="1">
      <w:start w:val="1"/>
      <w:numFmt w:val="decimal"/>
      <w:lvlText w:val="%4."/>
      <w:lvlJc w:val="left"/>
      <w:pPr>
        <w:tabs>
          <w:tab w:val="num" w:pos="2880"/>
        </w:tabs>
        <w:ind w:left="2880" w:hanging="360"/>
      </w:pPr>
    </w:lvl>
    <w:lvl w:ilvl="4" w:tplc="80CEE994" w:tentative="1">
      <w:start w:val="1"/>
      <w:numFmt w:val="decimal"/>
      <w:lvlText w:val="%5."/>
      <w:lvlJc w:val="left"/>
      <w:pPr>
        <w:tabs>
          <w:tab w:val="num" w:pos="3600"/>
        </w:tabs>
        <w:ind w:left="3600" w:hanging="360"/>
      </w:pPr>
    </w:lvl>
    <w:lvl w:ilvl="5" w:tplc="54DE35FA" w:tentative="1">
      <w:start w:val="1"/>
      <w:numFmt w:val="decimal"/>
      <w:lvlText w:val="%6."/>
      <w:lvlJc w:val="left"/>
      <w:pPr>
        <w:tabs>
          <w:tab w:val="num" w:pos="4320"/>
        </w:tabs>
        <w:ind w:left="4320" w:hanging="360"/>
      </w:pPr>
    </w:lvl>
    <w:lvl w:ilvl="6" w:tplc="28767F00" w:tentative="1">
      <w:start w:val="1"/>
      <w:numFmt w:val="decimal"/>
      <w:lvlText w:val="%7."/>
      <w:lvlJc w:val="left"/>
      <w:pPr>
        <w:tabs>
          <w:tab w:val="num" w:pos="5040"/>
        </w:tabs>
        <w:ind w:left="5040" w:hanging="360"/>
      </w:pPr>
    </w:lvl>
    <w:lvl w:ilvl="7" w:tplc="A1EC6754" w:tentative="1">
      <w:start w:val="1"/>
      <w:numFmt w:val="decimal"/>
      <w:lvlText w:val="%8."/>
      <w:lvlJc w:val="left"/>
      <w:pPr>
        <w:tabs>
          <w:tab w:val="num" w:pos="5760"/>
        </w:tabs>
        <w:ind w:left="5760" w:hanging="360"/>
      </w:pPr>
    </w:lvl>
    <w:lvl w:ilvl="8" w:tplc="87622FF0" w:tentative="1">
      <w:start w:val="1"/>
      <w:numFmt w:val="decimal"/>
      <w:lvlText w:val="%9."/>
      <w:lvlJc w:val="left"/>
      <w:pPr>
        <w:tabs>
          <w:tab w:val="num" w:pos="6480"/>
        </w:tabs>
        <w:ind w:left="6480" w:hanging="360"/>
      </w:pPr>
    </w:lvl>
  </w:abstractNum>
  <w:abstractNum w:abstractNumId="4" w15:restartNumberingAfterBreak="0">
    <w:nsid w:val="13247E60"/>
    <w:multiLevelType w:val="hybridMultilevel"/>
    <w:tmpl w:val="EC4A8236"/>
    <w:lvl w:ilvl="0" w:tplc="E6DC2B88">
      <w:start w:val="1"/>
      <w:numFmt w:val="decimal"/>
      <w:lvlText w:val="%1."/>
      <w:lvlJc w:val="left"/>
      <w:pPr>
        <w:tabs>
          <w:tab w:val="num" w:pos="720"/>
        </w:tabs>
        <w:ind w:left="720" w:hanging="360"/>
      </w:pPr>
    </w:lvl>
    <w:lvl w:ilvl="1" w:tplc="6AF0E33C" w:tentative="1">
      <w:start w:val="1"/>
      <w:numFmt w:val="decimal"/>
      <w:lvlText w:val="%2."/>
      <w:lvlJc w:val="left"/>
      <w:pPr>
        <w:tabs>
          <w:tab w:val="num" w:pos="1440"/>
        </w:tabs>
        <w:ind w:left="1440" w:hanging="360"/>
      </w:pPr>
    </w:lvl>
    <w:lvl w:ilvl="2" w:tplc="3432BF1C" w:tentative="1">
      <w:start w:val="1"/>
      <w:numFmt w:val="decimal"/>
      <w:lvlText w:val="%3."/>
      <w:lvlJc w:val="left"/>
      <w:pPr>
        <w:tabs>
          <w:tab w:val="num" w:pos="2160"/>
        </w:tabs>
        <w:ind w:left="2160" w:hanging="360"/>
      </w:pPr>
    </w:lvl>
    <w:lvl w:ilvl="3" w:tplc="32A8AAEE" w:tentative="1">
      <w:start w:val="1"/>
      <w:numFmt w:val="decimal"/>
      <w:lvlText w:val="%4."/>
      <w:lvlJc w:val="left"/>
      <w:pPr>
        <w:tabs>
          <w:tab w:val="num" w:pos="2880"/>
        </w:tabs>
        <w:ind w:left="2880" w:hanging="360"/>
      </w:pPr>
    </w:lvl>
    <w:lvl w:ilvl="4" w:tplc="0046B806" w:tentative="1">
      <w:start w:val="1"/>
      <w:numFmt w:val="decimal"/>
      <w:lvlText w:val="%5."/>
      <w:lvlJc w:val="left"/>
      <w:pPr>
        <w:tabs>
          <w:tab w:val="num" w:pos="3600"/>
        </w:tabs>
        <w:ind w:left="3600" w:hanging="360"/>
      </w:pPr>
    </w:lvl>
    <w:lvl w:ilvl="5" w:tplc="59C44130" w:tentative="1">
      <w:start w:val="1"/>
      <w:numFmt w:val="decimal"/>
      <w:lvlText w:val="%6."/>
      <w:lvlJc w:val="left"/>
      <w:pPr>
        <w:tabs>
          <w:tab w:val="num" w:pos="4320"/>
        </w:tabs>
        <w:ind w:left="4320" w:hanging="360"/>
      </w:pPr>
    </w:lvl>
    <w:lvl w:ilvl="6" w:tplc="4A60DAB4" w:tentative="1">
      <w:start w:val="1"/>
      <w:numFmt w:val="decimal"/>
      <w:lvlText w:val="%7."/>
      <w:lvlJc w:val="left"/>
      <w:pPr>
        <w:tabs>
          <w:tab w:val="num" w:pos="5040"/>
        </w:tabs>
        <w:ind w:left="5040" w:hanging="360"/>
      </w:pPr>
    </w:lvl>
    <w:lvl w:ilvl="7" w:tplc="CDD4D83C" w:tentative="1">
      <w:start w:val="1"/>
      <w:numFmt w:val="decimal"/>
      <w:lvlText w:val="%8."/>
      <w:lvlJc w:val="left"/>
      <w:pPr>
        <w:tabs>
          <w:tab w:val="num" w:pos="5760"/>
        </w:tabs>
        <w:ind w:left="5760" w:hanging="360"/>
      </w:pPr>
    </w:lvl>
    <w:lvl w:ilvl="8" w:tplc="14205054" w:tentative="1">
      <w:start w:val="1"/>
      <w:numFmt w:val="decimal"/>
      <w:lvlText w:val="%9."/>
      <w:lvlJc w:val="left"/>
      <w:pPr>
        <w:tabs>
          <w:tab w:val="num" w:pos="6480"/>
        </w:tabs>
        <w:ind w:left="6480" w:hanging="360"/>
      </w:pPr>
    </w:lvl>
  </w:abstractNum>
  <w:abstractNum w:abstractNumId="5" w15:restartNumberingAfterBreak="0">
    <w:nsid w:val="15B90C28"/>
    <w:multiLevelType w:val="hybridMultilevel"/>
    <w:tmpl w:val="0CD0C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2E690B"/>
    <w:multiLevelType w:val="hybridMultilevel"/>
    <w:tmpl w:val="55B2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8"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9"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B214FD"/>
    <w:multiLevelType w:val="hybridMultilevel"/>
    <w:tmpl w:val="AF0C0AE0"/>
    <w:lvl w:ilvl="0" w:tplc="8CD693C0">
      <w:start w:val="1"/>
      <w:numFmt w:val="decimal"/>
      <w:lvlText w:val="%1."/>
      <w:lvlJc w:val="left"/>
      <w:pPr>
        <w:tabs>
          <w:tab w:val="num" w:pos="720"/>
        </w:tabs>
        <w:ind w:left="720" w:hanging="360"/>
      </w:pPr>
    </w:lvl>
    <w:lvl w:ilvl="1" w:tplc="AED8209A" w:tentative="1">
      <w:start w:val="1"/>
      <w:numFmt w:val="decimal"/>
      <w:lvlText w:val="%2."/>
      <w:lvlJc w:val="left"/>
      <w:pPr>
        <w:tabs>
          <w:tab w:val="num" w:pos="1440"/>
        </w:tabs>
        <w:ind w:left="1440" w:hanging="360"/>
      </w:pPr>
    </w:lvl>
    <w:lvl w:ilvl="2" w:tplc="0A5A6FB2" w:tentative="1">
      <w:start w:val="1"/>
      <w:numFmt w:val="decimal"/>
      <w:lvlText w:val="%3."/>
      <w:lvlJc w:val="left"/>
      <w:pPr>
        <w:tabs>
          <w:tab w:val="num" w:pos="2160"/>
        </w:tabs>
        <w:ind w:left="2160" w:hanging="360"/>
      </w:pPr>
    </w:lvl>
    <w:lvl w:ilvl="3" w:tplc="96F813D8" w:tentative="1">
      <w:start w:val="1"/>
      <w:numFmt w:val="decimal"/>
      <w:lvlText w:val="%4."/>
      <w:lvlJc w:val="left"/>
      <w:pPr>
        <w:tabs>
          <w:tab w:val="num" w:pos="2880"/>
        </w:tabs>
        <w:ind w:left="2880" w:hanging="360"/>
      </w:pPr>
    </w:lvl>
    <w:lvl w:ilvl="4" w:tplc="A7781D2C" w:tentative="1">
      <w:start w:val="1"/>
      <w:numFmt w:val="decimal"/>
      <w:lvlText w:val="%5."/>
      <w:lvlJc w:val="left"/>
      <w:pPr>
        <w:tabs>
          <w:tab w:val="num" w:pos="3600"/>
        </w:tabs>
        <w:ind w:left="3600" w:hanging="360"/>
      </w:pPr>
    </w:lvl>
    <w:lvl w:ilvl="5" w:tplc="80DE66CE" w:tentative="1">
      <w:start w:val="1"/>
      <w:numFmt w:val="decimal"/>
      <w:lvlText w:val="%6."/>
      <w:lvlJc w:val="left"/>
      <w:pPr>
        <w:tabs>
          <w:tab w:val="num" w:pos="4320"/>
        </w:tabs>
        <w:ind w:left="4320" w:hanging="360"/>
      </w:pPr>
    </w:lvl>
    <w:lvl w:ilvl="6" w:tplc="7430BED8" w:tentative="1">
      <w:start w:val="1"/>
      <w:numFmt w:val="decimal"/>
      <w:lvlText w:val="%7."/>
      <w:lvlJc w:val="left"/>
      <w:pPr>
        <w:tabs>
          <w:tab w:val="num" w:pos="5040"/>
        </w:tabs>
        <w:ind w:left="5040" w:hanging="360"/>
      </w:pPr>
    </w:lvl>
    <w:lvl w:ilvl="7" w:tplc="02B41276" w:tentative="1">
      <w:start w:val="1"/>
      <w:numFmt w:val="decimal"/>
      <w:lvlText w:val="%8."/>
      <w:lvlJc w:val="left"/>
      <w:pPr>
        <w:tabs>
          <w:tab w:val="num" w:pos="5760"/>
        </w:tabs>
        <w:ind w:left="5760" w:hanging="360"/>
      </w:pPr>
    </w:lvl>
    <w:lvl w:ilvl="8" w:tplc="B3FA2C0E" w:tentative="1">
      <w:start w:val="1"/>
      <w:numFmt w:val="decimal"/>
      <w:lvlText w:val="%9."/>
      <w:lvlJc w:val="left"/>
      <w:pPr>
        <w:tabs>
          <w:tab w:val="num" w:pos="6480"/>
        </w:tabs>
        <w:ind w:left="6480" w:hanging="360"/>
      </w:pPr>
    </w:lvl>
  </w:abstractNum>
  <w:abstractNum w:abstractNumId="11"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552F4"/>
    <w:multiLevelType w:val="hybridMultilevel"/>
    <w:tmpl w:val="3BE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5"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8"/>
  </w:num>
  <w:num w:numId="3">
    <w:abstractNumId w:val="9"/>
  </w:num>
  <w:num w:numId="4">
    <w:abstractNumId w:val="7"/>
  </w:num>
  <w:num w:numId="5">
    <w:abstractNumId w:val="0"/>
  </w:num>
  <w:num w:numId="6">
    <w:abstractNumId w:val="15"/>
  </w:num>
  <w:num w:numId="7">
    <w:abstractNumId w:val="16"/>
  </w:num>
  <w:num w:numId="8">
    <w:abstractNumId w:val="11"/>
  </w:num>
  <w:num w:numId="9">
    <w:abstractNumId w:val="14"/>
  </w:num>
  <w:num w:numId="10">
    <w:abstractNumId w:val="5"/>
  </w:num>
  <w:num w:numId="11">
    <w:abstractNumId w:val="13"/>
  </w:num>
  <w:num w:numId="12">
    <w:abstractNumId w:val="3"/>
  </w:num>
  <w:num w:numId="13">
    <w:abstractNumId w:val="4"/>
  </w:num>
  <w:num w:numId="14">
    <w:abstractNumId w:val="6"/>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91760"/>
    <w:rsid w:val="000C27D1"/>
    <w:rsid w:val="000D5A7F"/>
    <w:rsid w:val="000D7BD2"/>
    <w:rsid w:val="00184881"/>
    <w:rsid w:val="001A4350"/>
    <w:rsid w:val="001C64A1"/>
    <w:rsid w:val="00216654"/>
    <w:rsid w:val="002303F9"/>
    <w:rsid w:val="00257A8D"/>
    <w:rsid w:val="002802F3"/>
    <w:rsid w:val="00323E24"/>
    <w:rsid w:val="00343B50"/>
    <w:rsid w:val="0038462B"/>
    <w:rsid w:val="003A74BA"/>
    <w:rsid w:val="003C5226"/>
    <w:rsid w:val="0049222B"/>
    <w:rsid w:val="00497577"/>
    <w:rsid w:val="004B5844"/>
    <w:rsid w:val="004E044B"/>
    <w:rsid w:val="005448A3"/>
    <w:rsid w:val="005D7EAF"/>
    <w:rsid w:val="006D1FD6"/>
    <w:rsid w:val="006E5B6B"/>
    <w:rsid w:val="00705757"/>
    <w:rsid w:val="007A781E"/>
    <w:rsid w:val="007B4155"/>
    <w:rsid w:val="007D03C9"/>
    <w:rsid w:val="008049A3"/>
    <w:rsid w:val="00853D70"/>
    <w:rsid w:val="00910CFA"/>
    <w:rsid w:val="00985E1D"/>
    <w:rsid w:val="009E33E0"/>
    <w:rsid w:val="00A23490"/>
    <w:rsid w:val="00A90914"/>
    <w:rsid w:val="00AA1182"/>
    <w:rsid w:val="00AC6FC7"/>
    <w:rsid w:val="00AD14FA"/>
    <w:rsid w:val="00AD1DE1"/>
    <w:rsid w:val="00AE2E92"/>
    <w:rsid w:val="00AF1BB9"/>
    <w:rsid w:val="00AF55DA"/>
    <w:rsid w:val="00B13651"/>
    <w:rsid w:val="00B14FA9"/>
    <w:rsid w:val="00B47991"/>
    <w:rsid w:val="00B87BB6"/>
    <w:rsid w:val="00C30654"/>
    <w:rsid w:val="00CA0506"/>
    <w:rsid w:val="00D542C9"/>
    <w:rsid w:val="00DF0FE7"/>
    <w:rsid w:val="00E16A95"/>
    <w:rsid w:val="00E22441"/>
    <w:rsid w:val="00E36595"/>
    <w:rsid w:val="00E40A99"/>
    <w:rsid w:val="00E71116"/>
    <w:rsid w:val="00E84856"/>
    <w:rsid w:val="00E87302"/>
    <w:rsid w:val="00E959DC"/>
    <w:rsid w:val="00EC1670"/>
    <w:rsid w:val="00F73735"/>
    <w:rsid w:val="00F87EBD"/>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paragraph" w:styleId="NormalWeb">
    <w:name w:val="Normal (Web)"/>
    <w:basedOn w:val="Normal"/>
    <w:uiPriority w:val="99"/>
    <w:semiHidden/>
    <w:unhideWhenUsed/>
    <w:rsid w:val="000D5A7F"/>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0D7BD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120223219">
      <w:bodyDiv w:val="1"/>
      <w:marLeft w:val="0"/>
      <w:marRight w:val="0"/>
      <w:marTop w:val="0"/>
      <w:marBottom w:val="0"/>
      <w:divBdr>
        <w:top w:val="none" w:sz="0" w:space="0" w:color="auto"/>
        <w:left w:val="none" w:sz="0" w:space="0" w:color="auto"/>
        <w:bottom w:val="none" w:sz="0" w:space="0" w:color="auto"/>
        <w:right w:val="none" w:sz="0" w:space="0" w:color="auto"/>
      </w:divBdr>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286350903">
      <w:bodyDiv w:val="1"/>
      <w:marLeft w:val="0"/>
      <w:marRight w:val="0"/>
      <w:marTop w:val="0"/>
      <w:marBottom w:val="0"/>
      <w:divBdr>
        <w:top w:val="none" w:sz="0" w:space="0" w:color="auto"/>
        <w:left w:val="none" w:sz="0" w:space="0" w:color="auto"/>
        <w:bottom w:val="none" w:sz="0" w:space="0" w:color="auto"/>
        <w:right w:val="none" w:sz="0" w:space="0" w:color="auto"/>
      </w:divBdr>
      <w:divsChild>
        <w:div w:id="653875925">
          <w:marLeft w:val="806"/>
          <w:marRight w:val="0"/>
          <w:marTop w:val="200"/>
          <w:marBottom w:val="0"/>
          <w:divBdr>
            <w:top w:val="none" w:sz="0" w:space="0" w:color="auto"/>
            <w:left w:val="none" w:sz="0" w:space="0" w:color="auto"/>
            <w:bottom w:val="none" w:sz="0" w:space="0" w:color="auto"/>
            <w:right w:val="none" w:sz="0" w:space="0" w:color="auto"/>
          </w:divBdr>
        </w:div>
        <w:div w:id="2109303746">
          <w:marLeft w:val="806"/>
          <w:marRight w:val="0"/>
          <w:marTop w:val="200"/>
          <w:marBottom w:val="0"/>
          <w:divBdr>
            <w:top w:val="none" w:sz="0" w:space="0" w:color="auto"/>
            <w:left w:val="none" w:sz="0" w:space="0" w:color="auto"/>
            <w:bottom w:val="none" w:sz="0" w:space="0" w:color="auto"/>
            <w:right w:val="none" w:sz="0" w:space="0" w:color="auto"/>
          </w:divBdr>
        </w:div>
        <w:div w:id="1281036693">
          <w:marLeft w:val="806"/>
          <w:marRight w:val="0"/>
          <w:marTop w:val="200"/>
          <w:marBottom w:val="0"/>
          <w:divBdr>
            <w:top w:val="none" w:sz="0" w:space="0" w:color="auto"/>
            <w:left w:val="none" w:sz="0" w:space="0" w:color="auto"/>
            <w:bottom w:val="none" w:sz="0" w:space="0" w:color="auto"/>
            <w:right w:val="none" w:sz="0" w:space="0" w:color="auto"/>
          </w:divBdr>
        </w:div>
        <w:div w:id="1295673129">
          <w:marLeft w:val="806"/>
          <w:marRight w:val="0"/>
          <w:marTop w:val="200"/>
          <w:marBottom w:val="0"/>
          <w:divBdr>
            <w:top w:val="none" w:sz="0" w:space="0" w:color="auto"/>
            <w:left w:val="none" w:sz="0" w:space="0" w:color="auto"/>
            <w:bottom w:val="none" w:sz="0" w:space="0" w:color="auto"/>
            <w:right w:val="none" w:sz="0" w:space="0" w:color="auto"/>
          </w:divBdr>
        </w:div>
        <w:div w:id="1350060069">
          <w:marLeft w:val="806"/>
          <w:marRight w:val="0"/>
          <w:marTop w:val="200"/>
          <w:marBottom w:val="0"/>
          <w:divBdr>
            <w:top w:val="none" w:sz="0" w:space="0" w:color="auto"/>
            <w:left w:val="none" w:sz="0" w:space="0" w:color="auto"/>
            <w:bottom w:val="none" w:sz="0" w:space="0" w:color="auto"/>
            <w:right w:val="none" w:sz="0" w:space="0" w:color="auto"/>
          </w:divBdr>
        </w:div>
        <w:div w:id="1748727883">
          <w:marLeft w:val="806"/>
          <w:marRight w:val="0"/>
          <w:marTop w:val="200"/>
          <w:marBottom w:val="0"/>
          <w:divBdr>
            <w:top w:val="none" w:sz="0" w:space="0" w:color="auto"/>
            <w:left w:val="none" w:sz="0" w:space="0" w:color="auto"/>
            <w:bottom w:val="none" w:sz="0" w:space="0" w:color="auto"/>
            <w:right w:val="none" w:sz="0" w:space="0" w:color="auto"/>
          </w:divBdr>
        </w:div>
        <w:div w:id="1205098823">
          <w:marLeft w:val="806"/>
          <w:marRight w:val="0"/>
          <w:marTop w:val="200"/>
          <w:marBottom w:val="0"/>
          <w:divBdr>
            <w:top w:val="none" w:sz="0" w:space="0" w:color="auto"/>
            <w:left w:val="none" w:sz="0" w:space="0" w:color="auto"/>
            <w:bottom w:val="none" w:sz="0" w:space="0" w:color="auto"/>
            <w:right w:val="none" w:sz="0" w:space="0" w:color="auto"/>
          </w:divBdr>
        </w:div>
        <w:div w:id="147551144">
          <w:marLeft w:val="806"/>
          <w:marRight w:val="0"/>
          <w:marTop w:val="200"/>
          <w:marBottom w:val="0"/>
          <w:divBdr>
            <w:top w:val="none" w:sz="0" w:space="0" w:color="auto"/>
            <w:left w:val="none" w:sz="0" w:space="0" w:color="auto"/>
            <w:bottom w:val="none" w:sz="0" w:space="0" w:color="auto"/>
            <w:right w:val="none" w:sz="0" w:space="0" w:color="auto"/>
          </w:divBdr>
        </w:div>
      </w:divsChild>
    </w:div>
    <w:div w:id="1089697379">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39973790">
      <w:bodyDiv w:val="1"/>
      <w:marLeft w:val="0"/>
      <w:marRight w:val="0"/>
      <w:marTop w:val="0"/>
      <w:marBottom w:val="0"/>
      <w:divBdr>
        <w:top w:val="none" w:sz="0" w:space="0" w:color="auto"/>
        <w:left w:val="none" w:sz="0" w:space="0" w:color="auto"/>
        <w:bottom w:val="none" w:sz="0" w:space="0" w:color="auto"/>
        <w:right w:val="none" w:sz="0" w:space="0" w:color="auto"/>
      </w:divBdr>
      <w:divsChild>
        <w:div w:id="984090581">
          <w:marLeft w:val="806"/>
          <w:marRight w:val="0"/>
          <w:marTop w:val="200"/>
          <w:marBottom w:val="0"/>
          <w:divBdr>
            <w:top w:val="none" w:sz="0" w:space="0" w:color="auto"/>
            <w:left w:val="none" w:sz="0" w:space="0" w:color="auto"/>
            <w:bottom w:val="none" w:sz="0" w:space="0" w:color="auto"/>
            <w:right w:val="none" w:sz="0" w:space="0" w:color="auto"/>
          </w:divBdr>
        </w:div>
        <w:div w:id="1330400526">
          <w:marLeft w:val="806"/>
          <w:marRight w:val="0"/>
          <w:marTop w:val="200"/>
          <w:marBottom w:val="0"/>
          <w:divBdr>
            <w:top w:val="none" w:sz="0" w:space="0" w:color="auto"/>
            <w:left w:val="none" w:sz="0" w:space="0" w:color="auto"/>
            <w:bottom w:val="none" w:sz="0" w:space="0" w:color="auto"/>
            <w:right w:val="none" w:sz="0" w:space="0" w:color="auto"/>
          </w:divBdr>
        </w:div>
        <w:div w:id="1015690977">
          <w:marLeft w:val="806"/>
          <w:marRight w:val="0"/>
          <w:marTop w:val="200"/>
          <w:marBottom w:val="0"/>
          <w:divBdr>
            <w:top w:val="none" w:sz="0" w:space="0" w:color="auto"/>
            <w:left w:val="none" w:sz="0" w:space="0" w:color="auto"/>
            <w:bottom w:val="none" w:sz="0" w:space="0" w:color="auto"/>
            <w:right w:val="none" w:sz="0" w:space="0" w:color="auto"/>
          </w:divBdr>
        </w:div>
        <w:div w:id="973483397">
          <w:marLeft w:val="806"/>
          <w:marRight w:val="0"/>
          <w:marTop w:val="200"/>
          <w:marBottom w:val="0"/>
          <w:divBdr>
            <w:top w:val="none" w:sz="0" w:space="0" w:color="auto"/>
            <w:left w:val="none" w:sz="0" w:space="0" w:color="auto"/>
            <w:bottom w:val="none" w:sz="0" w:space="0" w:color="auto"/>
            <w:right w:val="none" w:sz="0" w:space="0" w:color="auto"/>
          </w:divBdr>
        </w:div>
        <w:div w:id="178590254">
          <w:marLeft w:val="806"/>
          <w:marRight w:val="0"/>
          <w:marTop w:val="200"/>
          <w:marBottom w:val="0"/>
          <w:divBdr>
            <w:top w:val="none" w:sz="0" w:space="0" w:color="auto"/>
            <w:left w:val="none" w:sz="0" w:space="0" w:color="auto"/>
            <w:bottom w:val="none" w:sz="0" w:space="0" w:color="auto"/>
            <w:right w:val="none" w:sz="0" w:space="0" w:color="auto"/>
          </w:divBdr>
        </w:div>
        <w:div w:id="1488210636">
          <w:marLeft w:val="806"/>
          <w:marRight w:val="0"/>
          <w:marTop w:val="200"/>
          <w:marBottom w:val="0"/>
          <w:divBdr>
            <w:top w:val="none" w:sz="0" w:space="0" w:color="auto"/>
            <w:left w:val="none" w:sz="0" w:space="0" w:color="auto"/>
            <w:bottom w:val="none" w:sz="0" w:space="0" w:color="auto"/>
            <w:right w:val="none" w:sz="0" w:space="0" w:color="auto"/>
          </w:divBdr>
        </w:div>
        <w:div w:id="1741557696">
          <w:marLeft w:val="806"/>
          <w:marRight w:val="0"/>
          <w:marTop w:val="200"/>
          <w:marBottom w:val="0"/>
          <w:divBdr>
            <w:top w:val="none" w:sz="0" w:space="0" w:color="auto"/>
            <w:left w:val="none" w:sz="0" w:space="0" w:color="auto"/>
            <w:bottom w:val="none" w:sz="0" w:space="0" w:color="auto"/>
            <w:right w:val="none" w:sz="0" w:space="0" w:color="auto"/>
          </w:divBdr>
        </w:div>
      </w:divsChild>
    </w:div>
    <w:div w:id="1300300097">
      <w:bodyDiv w:val="1"/>
      <w:marLeft w:val="0"/>
      <w:marRight w:val="0"/>
      <w:marTop w:val="0"/>
      <w:marBottom w:val="0"/>
      <w:divBdr>
        <w:top w:val="none" w:sz="0" w:space="0" w:color="auto"/>
        <w:left w:val="none" w:sz="0" w:space="0" w:color="auto"/>
        <w:bottom w:val="none" w:sz="0" w:space="0" w:color="auto"/>
        <w:right w:val="none" w:sz="0" w:space="0" w:color="auto"/>
      </w:divBdr>
      <w:divsChild>
        <w:div w:id="1446657631">
          <w:marLeft w:val="806"/>
          <w:marRight w:val="0"/>
          <w:marTop w:val="200"/>
          <w:marBottom w:val="0"/>
          <w:divBdr>
            <w:top w:val="none" w:sz="0" w:space="0" w:color="auto"/>
            <w:left w:val="none" w:sz="0" w:space="0" w:color="auto"/>
            <w:bottom w:val="none" w:sz="0" w:space="0" w:color="auto"/>
            <w:right w:val="none" w:sz="0" w:space="0" w:color="auto"/>
          </w:divBdr>
        </w:div>
        <w:div w:id="399329329">
          <w:marLeft w:val="806"/>
          <w:marRight w:val="0"/>
          <w:marTop w:val="200"/>
          <w:marBottom w:val="0"/>
          <w:divBdr>
            <w:top w:val="none" w:sz="0" w:space="0" w:color="auto"/>
            <w:left w:val="none" w:sz="0" w:space="0" w:color="auto"/>
            <w:bottom w:val="none" w:sz="0" w:space="0" w:color="auto"/>
            <w:right w:val="none" w:sz="0" w:space="0" w:color="auto"/>
          </w:divBdr>
        </w:div>
        <w:div w:id="2003967957">
          <w:marLeft w:val="806"/>
          <w:marRight w:val="0"/>
          <w:marTop w:val="200"/>
          <w:marBottom w:val="0"/>
          <w:divBdr>
            <w:top w:val="none" w:sz="0" w:space="0" w:color="auto"/>
            <w:left w:val="none" w:sz="0" w:space="0" w:color="auto"/>
            <w:bottom w:val="none" w:sz="0" w:space="0" w:color="auto"/>
            <w:right w:val="none" w:sz="0" w:space="0" w:color="auto"/>
          </w:divBdr>
        </w:div>
        <w:div w:id="931083962">
          <w:marLeft w:val="806"/>
          <w:marRight w:val="0"/>
          <w:marTop w:val="200"/>
          <w:marBottom w:val="0"/>
          <w:divBdr>
            <w:top w:val="none" w:sz="0" w:space="0" w:color="auto"/>
            <w:left w:val="none" w:sz="0" w:space="0" w:color="auto"/>
            <w:bottom w:val="none" w:sz="0" w:space="0" w:color="auto"/>
            <w:right w:val="none" w:sz="0" w:space="0" w:color="auto"/>
          </w:divBdr>
        </w:div>
        <w:div w:id="1906060376">
          <w:marLeft w:val="806"/>
          <w:marRight w:val="0"/>
          <w:marTop w:val="200"/>
          <w:marBottom w:val="0"/>
          <w:divBdr>
            <w:top w:val="none" w:sz="0" w:space="0" w:color="auto"/>
            <w:left w:val="none" w:sz="0" w:space="0" w:color="auto"/>
            <w:bottom w:val="none" w:sz="0" w:space="0" w:color="auto"/>
            <w:right w:val="none" w:sz="0" w:space="0" w:color="auto"/>
          </w:divBdr>
        </w:div>
        <w:div w:id="336689956">
          <w:marLeft w:val="806"/>
          <w:marRight w:val="0"/>
          <w:marTop w:val="200"/>
          <w:marBottom w:val="0"/>
          <w:divBdr>
            <w:top w:val="none" w:sz="0" w:space="0" w:color="auto"/>
            <w:left w:val="none" w:sz="0" w:space="0" w:color="auto"/>
            <w:bottom w:val="none" w:sz="0" w:space="0" w:color="auto"/>
            <w:right w:val="none" w:sz="0" w:space="0" w:color="auto"/>
          </w:divBdr>
        </w:div>
        <w:div w:id="357319282">
          <w:marLeft w:val="806"/>
          <w:marRight w:val="0"/>
          <w:marTop w:val="200"/>
          <w:marBottom w:val="0"/>
          <w:divBdr>
            <w:top w:val="none" w:sz="0" w:space="0" w:color="auto"/>
            <w:left w:val="none" w:sz="0" w:space="0" w:color="auto"/>
            <w:bottom w:val="none" w:sz="0" w:space="0" w:color="auto"/>
            <w:right w:val="none" w:sz="0" w:space="0" w:color="auto"/>
          </w:divBdr>
        </w:div>
        <w:div w:id="683096954">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61826888">
      <w:bodyDiv w:val="1"/>
      <w:marLeft w:val="0"/>
      <w:marRight w:val="0"/>
      <w:marTop w:val="0"/>
      <w:marBottom w:val="0"/>
      <w:divBdr>
        <w:top w:val="none" w:sz="0" w:space="0" w:color="auto"/>
        <w:left w:val="none" w:sz="0" w:space="0" w:color="auto"/>
        <w:bottom w:val="none" w:sz="0" w:space="0" w:color="auto"/>
        <w:right w:val="none" w:sz="0" w:space="0" w:color="auto"/>
      </w:divBdr>
      <w:divsChild>
        <w:div w:id="666634708">
          <w:marLeft w:val="806"/>
          <w:marRight w:val="0"/>
          <w:marTop w:val="200"/>
          <w:marBottom w:val="0"/>
          <w:divBdr>
            <w:top w:val="none" w:sz="0" w:space="0" w:color="auto"/>
            <w:left w:val="none" w:sz="0" w:space="0" w:color="auto"/>
            <w:bottom w:val="none" w:sz="0" w:space="0" w:color="auto"/>
            <w:right w:val="none" w:sz="0" w:space="0" w:color="auto"/>
          </w:divBdr>
        </w:div>
        <w:div w:id="2078017923">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education/curriculum-tools/shareddecisionmaking/tools/tool-5/index.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ces.ed.gov/pubsearch/pubsinfo.asp?pubid=2006483" TargetMode="External"/><Relationship Id="rId4" Type="http://schemas.openxmlformats.org/officeDocument/2006/relationships/webSettings" Target="webSettings.xml"/><Relationship Id="rId9" Type="http://schemas.openxmlformats.org/officeDocument/2006/relationships/hyperlink" Target="https://www.fda.gov/media/81597/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11</cp:revision>
  <dcterms:created xsi:type="dcterms:W3CDTF">2019-08-22T13:39:00Z</dcterms:created>
  <dcterms:modified xsi:type="dcterms:W3CDTF">2019-11-21T19:29:00Z</dcterms:modified>
</cp:coreProperties>
</file>