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E3CC" w14:textId="42A6AE81" w:rsidR="002D6DA7" w:rsidRPr="002D6DA7" w:rsidRDefault="002D6DA7" w:rsidP="009E33E0">
      <w:pPr>
        <w:rPr>
          <w:b/>
          <w:sz w:val="28"/>
        </w:rPr>
      </w:pPr>
      <w:r w:rsidRPr="002D6DA7">
        <w:rPr>
          <w:b/>
          <w:sz w:val="28"/>
        </w:rPr>
        <w:t>Teach Back</w:t>
      </w:r>
    </w:p>
    <w:p w14:paraId="2C98B850" w14:textId="24EFC6D8" w:rsidR="000C27D1" w:rsidRPr="000C27D1" w:rsidRDefault="002D6DA7" w:rsidP="009E33E0">
      <w:pPr>
        <w:rPr>
          <w:sz w:val="28"/>
        </w:rPr>
      </w:pPr>
      <w:r>
        <w:rPr>
          <w:sz w:val="28"/>
        </w:rPr>
        <w:t xml:space="preserve">Teach back </w:t>
      </w:r>
      <w:r w:rsidR="000C27D1" w:rsidRPr="000C27D1">
        <w:rPr>
          <w:sz w:val="28"/>
        </w:rPr>
        <w:t xml:space="preserve">is a way of checking a </w:t>
      </w:r>
      <w:proofErr w:type="gramStart"/>
      <w:r w:rsidR="000C27D1" w:rsidRPr="000C27D1">
        <w:rPr>
          <w:sz w:val="28"/>
        </w:rPr>
        <w:t>patient’s understanding</w:t>
      </w:r>
      <w:proofErr w:type="gramEnd"/>
      <w:r w:rsidR="000C27D1" w:rsidRPr="000C27D1">
        <w:rPr>
          <w:sz w:val="28"/>
        </w:rPr>
        <w:t xml:space="preserve"> of information by asking them to state what they heard in their </w:t>
      </w:r>
      <w:r>
        <w:rPr>
          <w:sz w:val="28"/>
        </w:rPr>
        <w:t>________________</w:t>
      </w:r>
      <w:r w:rsidR="000C27D1" w:rsidRPr="000C27D1">
        <w:rPr>
          <w:sz w:val="28"/>
          <w:vertAlign w:val="superscript"/>
        </w:rPr>
        <w:t>1</w:t>
      </w:r>
      <w:r w:rsidR="000C27D1" w:rsidRPr="000C27D1">
        <w:rPr>
          <w:sz w:val="28"/>
        </w:rPr>
        <w:t xml:space="preserve">. </w:t>
      </w:r>
    </w:p>
    <w:p w14:paraId="4C31FB0D" w14:textId="39CBAEE1" w:rsidR="000C27D1" w:rsidRPr="000C27D1" w:rsidRDefault="000C27D1" w:rsidP="000C27D1">
      <w:pPr>
        <w:ind w:firstLine="720"/>
        <w:rPr>
          <w:sz w:val="28"/>
        </w:rPr>
      </w:pPr>
      <w:r w:rsidRPr="000C27D1">
        <w:rPr>
          <w:sz w:val="28"/>
        </w:rPr>
        <w:t xml:space="preserve">The benefits </w:t>
      </w:r>
      <w:r>
        <w:rPr>
          <w:sz w:val="28"/>
        </w:rPr>
        <w:t xml:space="preserve">of using this </w:t>
      </w:r>
      <w:r w:rsidRPr="000C27D1">
        <w:rPr>
          <w:sz w:val="28"/>
        </w:rPr>
        <w:t xml:space="preserve">include: </w:t>
      </w:r>
    </w:p>
    <w:p w14:paraId="003A3055" w14:textId="75ABED3B" w:rsidR="000C27D1" w:rsidRPr="000C27D1" w:rsidRDefault="000C27D1" w:rsidP="000C27D1">
      <w:pPr>
        <w:pStyle w:val="ListParagraph"/>
        <w:numPr>
          <w:ilvl w:val="0"/>
          <w:numId w:val="14"/>
        </w:numPr>
        <w:spacing w:line="360" w:lineRule="auto"/>
        <w:rPr>
          <w:sz w:val="28"/>
        </w:rPr>
      </w:pPr>
      <w:r w:rsidRPr="000C27D1">
        <w:rPr>
          <w:sz w:val="28"/>
        </w:rPr>
        <w:t xml:space="preserve">Better understanding and </w:t>
      </w:r>
      <w:r>
        <w:rPr>
          <w:sz w:val="28"/>
        </w:rPr>
        <w:t>_________________.</w:t>
      </w:r>
    </w:p>
    <w:p w14:paraId="7CA87009" w14:textId="3768FA99" w:rsidR="000C27D1" w:rsidRPr="000C27D1" w:rsidRDefault="000C27D1" w:rsidP="000C27D1">
      <w:pPr>
        <w:pStyle w:val="ListParagraph"/>
        <w:numPr>
          <w:ilvl w:val="0"/>
          <w:numId w:val="14"/>
        </w:numPr>
        <w:spacing w:line="360" w:lineRule="auto"/>
        <w:rPr>
          <w:sz w:val="28"/>
        </w:rPr>
      </w:pPr>
      <w:r w:rsidRPr="000C27D1">
        <w:rPr>
          <w:sz w:val="28"/>
        </w:rPr>
        <w:t xml:space="preserve">Improved </w:t>
      </w:r>
      <w:r>
        <w:rPr>
          <w:sz w:val="28"/>
        </w:rPr>
        <w:t xml:space="preserve">_____________ </w:t>
      </w:r>
      <w:r w:rsidRPr="000C27D1">
        <w:rPr>
          <w:sz w:val="28"/>
        </w:rPr>
        <w:t>and outcomes</w:t>
      </w:r>
    </w:p>
    <w:p w14:paraId="35E95889" w14:textId="5600CDCC" w:rsidR="000C27D1" w:rsidRDefault="000C27D1" w:rsidP="000C27D1">
      <w:pPr>
        <w:pStyle w:val="ListParagraph"/>
        <w:numPr>
          <w:ilvl w:val="0"/>
          <w:numId w:val="14"/>
        </w:numPr>
        <w:spacing w:line="360" w:lineRule="auto"/>
        <w:rPr>
          <w:sz w:val="28"/>
        </w:rPr>
      </w:pPr>
      <w:r w:rsidRPr="000C27D1">
        <w:rPr>
          <w:sz w:val="28"/>
        </w:rPr>
        <w:t>Reduction in callbacks and canceled appointments</w:t>
      </w:r>
      <w:r w:rsidRPr="000C27D1">
        <w:rPr>
          <w:sz w:val="28"/>
          <w:vertAlign w:val="superscript"/>
        </w:rPr>
        <w:t>1</w:t>
      </w:r>
      <w:r w:rsidRPr="000C27D1">
        <w:rPr>
          <w:sz w:val="28"/>
        </w:rPr>
        <w:t xml:space="preserve"> </w:t>
      </w:r>
    </w:p>
    <w:p w14:paraId="77E3DFB3" w14:textId="680F7AF3" w:rsidR="000C27D1" w:rsidRPr="002D6DA7" w:rsidRDefault="00AF1BB9" w:rsidP="000C27D1">
      <w:pPr>
        <w:spacing w:line="360" w:lineRule="auto"/>
        <w:rPr>
          <w:b/>
          <w:sz w:val="28"/>
        </w:rPr>
      </w:pPr>
      <w:r w:rsidRPr="002D6DA7">
        <w:rPr>
          <w:b/>
          <w:sz w:val="28"/>
        </w:rPr>
        <w:t>Implementation tips:</w:t>
      </w:r>
    </w:p>
    <w:p w14:paraId="34ECA4BA" w14:textId="782ABA8C" w:rsidR="00AF1BB9" w:rsidRPr="00AF1BB9" w:rsidRDefault="00AF1BB9" w:rsidP="00AF1BB9">
      <w:pPr>
        <w:pStyle w:val="ListParagraph"/>
        <w:numPr>
          <w:ilvl w:val="0"/>
          <w:numId w:val="15"/>
        </w:numPr>
        <w:spacing w:line="360" w:lineRule="auto"/>
        <w:rPr>
          <w:sz w:val="28"/>
        </w:rPr>
      </w:pPr>
      <w:r w:rsidRPr="00AF1BB9">
        <w:rPr>
          <w:sz w:val="28"/>
        </w:rPr>
        <w:t>Not a test of the patient’s knowledge</w:t>
      </w:r>
    </w:p>
    <w:p w14:paraId="1A43850C" w14:textId="13E1CA83" w:rsidR="00AF1BB9" w:rsidRPr="00AF1BB9" w:rsidRDefault="00AF1BB9" w:rsidP="00AF1BB9">
      <w:pPr>
        <w:pStyle w:val="ListParagraph"/>
        <w:numPr>
          <w:ilvl w:val="0"/>
          <w:numId w:val="15"/>
        </w:numPr>
        <w:spacing w:line="360" w:lineRule="auto"/>
        <w:rPr>
          <w:sz w:val="28"/>
        </w:rPr>
      </w:pPr>
      <w:r>
        <w:rPr>
          <w:sz w:val="28"/>
        </w:rPr>
        <w:t>___________</w:t>
      </w:r>
      <w:r w:rsidRPr="00AF1BB9">
        <w:rPr>
          <w:sz w:val="28"/>
        </w:rPr>
        <w:t xml:space="preserve"> your approach</w:t>
      </w:r>
    </w:p>
    <w:p w14:paraId="41309CCF" w14:textId="66F38094" w:rsidR="00AF1BB9" w:rsidRPr="00AF1BB9" w:rsidRDefault="00AF1BB9" w:rsidP="00AF1BB9">
      <w:pPr>
        <w:pStyle w:val="ListParagraph"/>
        <w:numPr>
          <w:ilvl w:val="0"/>
          <w:numId w:val="15"/>
        </w:numPr>
        <w:spacing w:line="360" w:lineRule="auto"/>
        <w:rPr>
          <w:sz w:val="28"/>
        </w:rPr>
      </w:pPr>
      <w:r w:rsidRPr="00AF1BB9">
        <w:rPr>
          <w:sz w:val="28"/>
        </w:rPr>
        <w:t>“</w:t>
      </w:r>
      <w:r>
        <w:rPr>
          <w:sz w:val="28"/>
        </w:rPr>
        <w:t>______________</w:t>
      </w:r>
      <w:r w:rsidRPr="00AF1BB9">
        <w:rPr>
          <w:sz w:val="28"/>
        </w:rPr>
        <w:t xml:space="preserve"> and Check”</w:t>
      </w:r>
    </w:p>
    <w:p w14:paraId="6A1E717E" w14:textId="5FDCC72F" w:rsidR="00AF1BB9" w:rsidRPr="00AF1BB9" w:rsidRDefault="00AF1BB9" w:rsidP="00AF1BB9">
      <w:pPr>
        <w:pStyle w:val="ListParagraph"/>
        <w:numPr>
          <w:ilvl w:val="0"/>
          <w:numId w:val="15"/>
        </w:numPr>
        <w:spacing w:line="360" w:lineRule="auto"/>
        <w:rPr>
          <w:sz w:val="28"/>
        </w:rPr>
      </w:pPr>
      <w:r w:rsidRPr="00AF1BB9">
        <w:rPr>
          <w:sz w:val="28"/>
        </w:rPr>
        <w:t>Clarify and check again</w:t>
      </w:r>
    </w:p>
    <w:p w14:paraId="33D23DB3" w14:textId="4946B598" w:rsidR="00AF1BB9" w:rsidRDefault="00AF1BB9" w:rsidP="00AF1BB9">
      <w:pPr>
        <w:pStyle w:val="ListParagraph"/>
        <w:numPr>
          <w:ilvl w:val="0"/>
          <w:numId w:val="15"/>
        </w:numPr>
        <w:spacing w:line="360" w:lineRule="auto"/>
        <w:rPr>
          <w:sz w:val="28"/>
        </w:rPr>
      </w:pPr>
      <w:r w:rsidRPr="00AF1BB9">
        <w:rPr>
          <w:sz w:val="28"/>
        </w:rPr>
        <w:t>Start slowly and use consistently</w:t>
      </w:r>
    </w:p>
    <w:p w14:paraId="38B16BE0" w14:textId="15455691" w:rsidR="00185A05" w:rsidRPr="00AF1BB9" w:rsidRDefault="00185A05" w:rsidP="00AF1BB9">
      <w:pPr>
        <w:pStyle w:val="ListParagraph"/>
        <w:numPr>
          <w:ilvl w:val="0"/>
          <w:numId w:val="15"/>
        </w:numPr>
        <w:spacing w:line="360" w:lineRule="auto"/>
        <w:rPr>
          <w:sz w:val="28"/>
        </w:rPr>
      </w:pPr>
      <w:r w:rsidRPr="00C2113C">
        <w:rPr>
          <w:b/>
          <w:sz w:val="28"/>
          <w:u w:val="single"/>
        </w:rPr>
        <w:t>Practice</w:t>
      </w:r>
      <w:r w:rsidRPr="00AF1BB9">
        <w:rPr>
          <w:sz w:val="28"/>
          <w:vertAlign w:val="superscript"/>
        </w:rPr>
        <w:t>1</w:t>
      </w:r>
    </w:p>
    <w:p w14:paraId="0F8C50F7" w14:textId="58F21875" w:rsidR="00F3130A" w:rsidRPr="00185A05" w:rsidRDefault="002D6DA7" w:rsidP="00185A05">
      <w:pPr>
        <w:pStyle w:val="ListParagraph"/>
        <w:spacing w:line="360" w:lineRule="auto"/>
        <w:jc w:val="center"/>
        <w:rPr>
          <w:sz w:val="28"/>
        </w:rPr>
      </w:pPr>
      <w:r w:rsidRPr="000C27D1">
        <w:rPr>
          <w:noProof/>
        </w:rPr>
        <w:drawing>
          <wp:inline distT="0" distB="0" distL="0" distR="0" wp14:anchorId="388DD6E9" wp14:editId="27A3FE4E">
            <wp:extent cx="5457825" cy="3069590"/>
            <wp:effectExtent l="19050" t="19050" r="28575" b="16510"/>
            <wp:docPr id="1" name="Picture 1" descr="Screenshot of powerpoint slide with take home message. Consider: How do you already use teach back and where can you apply it more? Practice: If you don't already use teach back regularly, try adding it to your last appointment of the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57825" cy="3069590"/>
                    </a:xfrm>
                    <a:prstGeom prst="rect">
                      <a:avLst/>
                    </a:prstGeom>
                    <a:ln>
                      <a:solidFill>
                        <a:sysClr val="windowText" lastClr="000000"/>
                      </a:solidFill>
                    </a:ln>
                  </pic:spPr>
                </pic:pic>
              </a:graphicData>
            </a:graphic>
          </wp:inline>
        </w:drawing>
      </w:r>
    </w:p>
    <w:p w14:paraId="0ADC7EA2" w14:textId="2A75666A" w:rsidR="00E40A99" w:rsidRPr="00416897" w:rsidRDefault="00CA0506" w:rsidP="00416897">
      <w:pPr>
        <w:spacing w:line="360" w:lineRule="auto"/>
        <w:ind w:left="360"/>
        <w:rPr>
          <w:sz w:val="28"/>
        </w:rPr>
      </w:pPr>
      <w:r>
        <w:lastRenderedPageBreak/>
        <w:t xml:space="preserve">References: </w:t>
      </w:r>
    </w:p>
    <w:p w14:paraId="43EF33A6" w14:textId="7CACA65C" w:rsidR="00511F06" w:rsidRPr="000C27D1" w:rsidRDefault="00EC1670" w:rsidP="000C27D1">
      <w:pPr>
        <w:pStyle w:val="ListParagraph"/>
        <w:numPr>
          <w:ilvl w:val="0"/>
          <w:numId w:val="13"/>
        </w:numPr>
      </w:pPr>
      <w:proofErr w:type="spellStart"/>
      <w:r w:rsidRPr="000C27D1">
        <w:t>Brega</w:t>
      </w:r>
      <w:proofErr w:type="spellEnd"/>
      <w:r w:rsidRPr="000C27D1">
        <w:t xml:space="preserve"> AG, Barnard J, </w:t>
      </w:r>
      <w:proofErr w:type="spellStart"/>
      <w:r w:rsidRPr="000C27D1">
        <w:t>Mabachi</w:t>
      </w:r>
      <w:proofErr w:type="spellEnd"/>
      <w:r w:rsidRPr="000C27D1">
        <w:t xml:space="preserve"> NM, Weiss BD, </w:t>
      </w:r>
      <w:proofErr w:type="spellStart"/>
      <w:r w:rsidRPr="000C27D1">
        <w:t>DeWalt</w:t>
      </w:r>
      <w:proofErr w:type="spellEnd"/>
      <w:r w:rsidRPr="000C27D1">
        <w:t xml:space="preserve"> DA, Brach C, </w:t>
      </w:r>
      <w:proofErr w:type="spellStart"/>
      <w:r w:rsidRPr="000C27D1">
        <w:t>Cifuentes</w:t>
      </w:r>
      <w:proofErr w:type="spellEnd"/>
      <w:r w:rsidRPr="000C27D1">
        <w:t xml:space="preserve"> M, Albright K, West, DR. (2015). AHRQ Health Literacy Universal Precautions Toolkit, Second Edition. (Prepared by Colorado Health Outcomes Program, University of Colorado Anschutz Medical Campus under Contract No. HHSA290200710008, TO#10.) AHRQ Publication No. 15-0023-EF. Rockville, MD. Agency for Healthcare Research and Quality. Retrieved from </w:t>
      </w:r>
      <w:hyperlink r:id="rId8" w:history="1">
        <w:r w:rsidRPr="000C27D1">
          <w:rPr>
            <w:rStyle w:val="Hyperlink"/>
          </w:rPr>
          <w:t xml:space="preserve">URL to </w:t>
        </w:r>
      </w:hyperlink>
      <w:hyperlink r:id="rId9" w:history="1">
        <w:r w:rsidRPr="000C27D1">
          <w:rPr>
            <w:rStyle w:val="Hyperlink"/>
          </w:rPr>
          <w:t>Source</w:t>
        </w:r>
      </w:hyperlink>
    </w:p>
    <w:p w14:paraId="4A9D3647" w14:textId="77777777" w:rsidR="00511F06" w:rsidRPr="000C27D1" w:rsidRDefault="00EC1670" w:rsidP="000C27D1">
      <w:pPr>
        <w:pStyle w:val="ListParagraph"/>
        <w:numPr>
          <w:ilvl w:val="0"/>
          <w:numId w:val="13"/>
        </w:numPr>
      </w:pPr>
      <w:r w:rsidRPr="000C27D1">
        <w:t xml:space="preserve">Trina, D. (2016). Use the Teach-Back Method to Confirm Patient Understanding. </w:t>
      </w:r>
      <w:r w:rsidRPr="000C27D1">
        <w:rPr>
          <w:i/>
          <w:iCs/>
        </w:rPr>
        <w:t>The Hospitalist</w:t>
      </w:r>
      <w:r w:rsidRPr="000C27D1">
        <w:t xml:space="preserve">. 2016(6). Retrieved from: </w:t>
      </w:r>
      <w:hyperlink r:id="rId10" w:history="1">
        <w:r w:rsidRPr="000C27D1">
          <w:rPr>
            <w:rStyle w:val="Hyperlink"/>
          </w:rPr>
          <w:t>URL to Source</w:t>
        </w:r>
      </w:hyperlink>
    </w:p>
    <w:p w14:paraId="66767DB1" w14:textId="77777777" w:rsidR="009E33E0" w:rsidRPr="00853D70" w:rsidRDefault="009E33E0" w:rsidP="009E33E0">
      <w:pPr>
        <w:pStyle w:val="ListParagraph"/>
      </w:pPr>
    </w:p>
    <w:p w14:paraId="0ED8ABA4" w14:textId="77777777" w:rsidR="00CA0506" w:rsidRDefault="00CA0506" w:rsidP="001A4350">
      <w:pPr>
        <w:pStyle w:val="ListParagraph"/>
      </w:pPr>
      <w:bookmarkStart w:id="0" w:name="_GoBack"/>
      <w:bookmarkEnd w:id="0"/>
    </w:p>
    <w:sectPr w:rsidR="00CA0506" w:rsidSect="00D53DF7">
      <w:headerReference w:type="default"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92DCF" w14:textId="77777777" w:rsidR="009A72BD" w:rsidRDefault="009A72BD" w:rsidP="00CA0506">
      <w:pPr>
        <w:spacing w:after="0" w:line="240" w:lineRule="auto"/>
      </w:pPr>
      <w:r>
        <w:separator/>
      </w:r>
    </w:p>
  </w:endnote>
  <w:endnote w:type="continuationSeparator" w:id="0">
    <w:p w14:paraId="41F55CB0" w14:textId="77777777" w:rsidR="009A72BD" w:rsidRDefault="009A72BD"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D506" w14:textId="10BC7E53" w:rsidR="00E90251" w:rsidRPr="00E90251" w:rsidRDefault="00E90251" w:rsidP="00E90251">
    <w:pPr>
      <w:spacing w:after="0" w:line="240" w:lineRule="auto"/>
      <w:jc w:val="center"/>
      <w:rPr>
        <w:rFonts w:ascii="Times New Roman" w:eastAsia="Times New Roman" w:hAnsi="Times New Roman" w:cs="Times New Roman"/>
        <w:sz w:val="20"/>
        <w:szCs w:val="24"/>
      </w:rPr>
    </w:pPr>
    <w:r w:rsidRPr="00E90251">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0E78" w14:textId="77777777" w:rsidR="009A72BD" w:rsidRDefault="009A72BD" w:rsidP="00CA0506">
      <w:pPr>
        <w:spacing w:after="0" w:line="240" w:lineRule="auto"/>
      </w:pPr>
      <w:r>
        <w:separator/>
      </w:r>
    </w:p>
  </w:footnote>
  <w:footnote w:type="continuationSeparator" w:id="0">
    <w:p w14:paraId="4682AFE5" w14:textId="77777777" w:rsidR="009A72BD" w:rsidRDefault="009A72BD"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2C0C3976" w:rsidR="00CA0506" w:rsidRPr="00DB6572" w:rsidRDefault="00CA0506" w:rsidP="00DB6572">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D910" w14:textId="15338772" w:rsidR="00D53DF7" w:rsidRPr="00D53DF7" w:rsidRDefault="00D53DF7" w:rsidP="00D53DF7">
    <w:pPr>
      <w:pStyle w:val="Header"/>
      <w:jc w:val="center"/>
      <w:rPr>
        <w:b/>
        <w:bCs/>
        <w:iCs/>
        <w:color w:val="2E74B5" w:themeColor="accent5" w:themeShade="BF"/>
        <w:sz w:val="60"/>
        <w:szCs w:val="60"/>
      </w:rPr>
    </w:pPr>
    <w:r>
      <w:rPr>
        <w:b/>
        <w:bCs/>
        <w:iCs/>
        <w:color w:val="2E74B5" w:themeColor="accent5" w:themeShade="BF"/>
        <w:sz w:val="60"/>
        <w:szCs w:val="60"/>
      </w:rPr>
      <w:t>Health Literacy Module 5</w:t>
    </w:r>
    <w:r w:rsidRPr="00D53DF7">
      <w:rPr>
        <w:b/>
        <w:bCs/>
        <w:iCs/>
        <w:color w:val="2E74B5" w:themeColor="accent5" w:themeShade="BF"/>
        <w:sz w:val="60"/>
        <w:szCs w:val="60"/>
      </w:rPr>
      <w:t xml:space="preserve"> Key Concepts Handout</w:t>
    </w:r>
  </w:p>
  <w:p w14:paraId="7BDE451D" w14:textId="77777777" w:rsidR="00D53DF7" w:rsidRPr="00D53DF7" w:rsidRDefault="00D53DF7">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077956F0"/>
    <w:multiLevelType w:val="hybridMultilevel"/>
    <w:tmpl w:val="0E72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95A0D"/>
    <w:multiLevelType w:val="hybridMultilevel"/>
    <w:tmpl w:val="DDF45DF4"/>
    <w:lvl w:ilvl="0" w:tplc="E05E016E">
      <w:start w:val="1"/>
      <w:numFmt w:val="decimal"/>
      <w:lvlText w:val="%1."/>
      <w:lvlJc w:val="left"/>
      <w:pPr>
        <w:tabs>
          <w:tab w:val="num" w:pos="720"/>
        </w:tabs>
        <w:ind w:left="720" w:hanging="360"/>
      </w:pPr>
    </w:lvl>
    <w:lvl w:ilvl="1" w:tplc="1C7E500E" w:tentative="1">
      <w:start w:val="1"/>
      <w:numFmt w:val="decimal"/>
      <w:lvlText w:val="%2."/>
      <w:lvlJc w:val="left"/>
      <w:pPr>
        <w:tabs>
          <w:tab w:val="num" w:pos="1440"/>
        </w:tabs>
        <w:ind w:left="1440" w:hanging="360"/>
      </w:pPr>
    </w:lvl>
    <w:lvl w:ilvl="2" w:tplc="A09C28A4" w:tentative="1">
      <w:start w:val="1"/>
      <w:numFmt w:val="decimal"/>
      <w:lvlText w:val="%3."/>
      <w:lvlJc w:val="left"/>
      <w:pPr>
        <w:tabs>
          <w:tab w:val="num" w:pos="2160"/>
        </w:tabs>
        <w:ind w:left="2160" w:hanging="360"/>
      </w:pPr>
    </w:lvl>
    <w:lvl w:ilvl="3" w:tplc="A84AB294" w:tentative="1">
      <w:start w:val="1"/>
      <w:numFmt w:val="decimal"/>
      <w:lvlText w:val="%4."/>
      <w:lvlJc w:val="left"/>
      <w:pPr>
        <w:tabs>
          <w:tab w:val="num" w:pos="2880"/>
        </w:tabs>
        <w:ind w:left="2880" w:hanging="360"/>
      </w:pPr>
    </w:lvl>
    <w:lvl w:ilvl="4" w:tplc="80CEE994" w:tentative="1">
      <w:start w:val="1"/>
      <w:numFmt w:val="decimal"/>
      <w:lvlText w:val="%5."/>
      <w:lvlJc w:val="left"/>
      <w:pPr>
        <w:tabs>
          <w:tab w:val="num" w:pos="3600"/>
        </w:tabs>
        <w:ind w:left="3600" w:hanging="360"/>
      </w:pPr>
    </w:lvl>
    <w:lvl w:ilvl="5" w:tplc="54DE35FA" w:tentative="1">
      <w:start w:val="1"/>
      <w:numFmt w:val="decimal"/>
      <w:lvlText w:val="%6."/>
      <w:lvlJc w:val="left"/>
      <w:pPr>
        <w:tabs>
          <w:tab w:val="num" w:pos="4320"/>
        </w:tabs>
        <w:ind w:left="4320" w:hanging="360"/>
      </w:pPr>
    </w:lvl>
    <w:lvl w:ilvl="6" w:tplc="28767F00" w:tentative="1">
      <w:start w:val="1"/>
      <w:numFmt w:val="decimal"/>
      <w:lvlText w:val="%7."/>
      <w:lvlJc w:val="left"/>
      <w:pPr>
        <w:tabs>
          <w:tab w:val="num" w:pos="5040"/>
        </w:tabs>
        <w:ind w:left="5040" w:hanging="360"/>
      </w:pPr>
    </w:lvl>
    <w:lvl w:ilvl="7" w:tplc="A1EC6754" w:tentative="1">
      <w:start w:val="1"/>
      <w:numFmt w:val="decimal"/>
      <w:lvlText w:val="%8."/>
      <w:lvlJc w:val="left"/>
      <w:pPr>
        <w:tabs>
          <w:tab w:val="num" w:pos="5760"/>
        </w:tabs>
        <w:ind w:left="5760" w:hanging="360"/>
      </w:pPr>
    </w:lvl>
    <w:lvl w:ilvl="8" w:tplc="87622FF0" w:tentative="1">
      <w:start w:val="1"/>
      <w:numFmt w:val="decimal"/>
      <w:lvlText w:val="%9."/>
      <w:lvlJc w:val="left"/>
      <w:pPr>
        <w:tabs>
          <w:tab w:val="num" w:pos="6480"/>
        </w:tabs>
        <w:ind w:left="6480" w:hanging="360"/>
      </w:pPr>
    </w:lvl>
  </w:abstractNum>
  <w:abstractNum w:abstractNumId="3" w15:restartNumberingAfterBreak="0">
    <w:nsid w:val="13247E60"/>
    <w:multiLevelType w:val="hybridMultilevel"/>
    <w:tmpl w:val="EC4A8236"/>
    <w:lvl w:ilvl="0" w:tplc="E6DC2B88">
      <w:start w:val="1"/>
      <w:numFmt w:val="decimal"/>
      <w:lvlText w:val="%1."/>
      <w:lvlJc w:val="left"/>
      <w:pPr>
        <w:tabs>
          <w:tab w:val="num" w:pos="720"/>
        </w:tabs>
        <w:ind w:left="720" w:hanging="360"/>
      </w:pPr>
    </w:lvl>
    <w:lvl w:ilvl="1" w:tplc="6AF0E33C" w:tentative="1">
      <w:start w:val="1"/>
      <w:numFmt w:val="decimal"/>
      <w:lvlText w:val="%2."/>
      <w:lvlJc w:val="left"/>
      <w:pPr>
        <w:tabs>
          <w:tab w:val="num" w:pos="1440"/>
        </w:tabs>
        <w:ind w:left="1440" w:hanging="360"/>
      </w:pPr>
    </w:lvl>
    <w:lvl w:ilvl="2" w:tplc="3432BF1C" w:tentative="1">
      <w:start w:val="1"/>
      <w:numFmt w:val="decimal"/>
      <w:lvlText w:val="%3."/>
      <w:lvlJc w:val="left"/>
      <w:pPr>
        <w:tabs>
          <w:tab w:val="num" w:pos="2160"/>
        </w:tabs>
        <w:ind w:left="2160" w:hanging="360"/>
      </w:pPr>
    </w:lvl>
    <w:lvl w:ilvl="3" w:tplc="32A8AAEE" w:tentative="1">
      <w:start w:val="1"/>
      <w:numFmt w:val="decimal"/>
      <w:lvlText w:val="%4."/>
      <w:lvlJc w:val="left"/>
      <w:pPr>
        <w:tabs>
          <w:tab w:val="num" w:pos="2880"/>
        </w:tabs>
        <w:ind w:left="2880" w:hanging="360"/>
      </w:pPr>
    </w:lvl>
    <w:lvl w:ilvl="4" w:tplc="0046B806" w:tentative="1">
      <w:start w:val="1"/>
      <w:numFmt w:val="decimal"/>
      <w:lvlText w:val="%5."/>
      <w:lvlJc w:val="left"/>
      <w:pPr>
        <w:tabs>
          <w:tab w:val="num" w:pos="3600"/>
        </w:tabs>
        <w:ind w:left="3600" w:hanging="360"/>
      </w:pPr>
    </w:lvl>
    <w:lvl w:ilvl="5" w:tplc="59C44130" w:tentative="1">
      <w:start w:val="1"/>
      <w:numFmt w:val="decimal"/>
      <w:lvlText w:val="%6."/>
      <w:lvlJc w:val="left"/>
      <w:pPr>
        <w:tabs>
          <w:tab w:val="num" w:pos="4320"/>
        </w:tabs>
        <w:ind w:left="4320" w:hanging="360"/>
      </w:pPr>
    </w:lvl>
    <w:lvl w:ilvl="6" w:tplc="4A60DAB4" w:tentative="1">
      <w:start w:val="1"/>
      <w:numFmt w:val="decimal"/>
      <w:lvlText w:val="%7."/>
      <w:lvlJc w:val="left"/>
      <w:pPr>
        <w:tabs>
          <w:tab w:val="num" w:pos="5040"/>
        </w:tabs>
        <w:ind w:left="5040" w:hanging="360"/>
      </w:pPr>
    </w:lvl>
    <w:lvl w:ilvl="7" w:tplc="CDD4D83C" w:tentative="1">
      <w:start w:val="1"/>
      <w:numFmt w:val="decimal"/>
      <w:lvlText w:val="%8."/>
      <w:lvlJc w:val="left"/>
      <w:pPr>
        <w:tabs>
          <w:tab w:val="num" w:pos="5760"/>
        </w:tabs>
        <w:ind w:left="5760" w:hanging="360"/>
      </w:pPr>
    </w:lvl>
    <w:lvl w:ilvl="8" w:tplc="14205054" w:tentative="1">
      <w:start w:val="1"/>
      <w:numFmt w:val="decimal"/>
      <w:lvlText w:val="%9."/>
      <w:lvlJc w:val="left"/>
      <w:pPr>
        <w:tabs>
          <w:tab w:val="num" w:pos="6480"/>
        </w:tabs>
        <w:ind w:left="6480" w:hanging="360"/>
      </w:pPr>
    </w:lvl>
  </w:abstractNum>
  <w:abstractNum w:abstractNumId="4" w15:restartNumberingAfterBreak="0">
    <w:nsid w:val="15B90C28"/>
    <w:multiLevelType w:val="hybridMultilevel"/>
    <w:tmpl w:val="0CD0C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2E690B"/>
    <w:multiLevelType w:val="hybridMultilevel"/>
    <w:tmpl w:val="55B2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7"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8"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552F4"/>
    <w:multiLevelType w:val="hybridMultilevel"/>
    <w:tmpl w:val="3BE6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3"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8"/>
  </w:num>
  <w:num w:numId="4">
    <w:abstractNumId w:val="6"/>
  </w:num>
  <w:num w:numId="5">
    <w:abstractNumId w:val="0"/>
  </w:num>
  <w:num w:numId="6">
    <w:abstractNumId w:val="13"/>
  </w:num>
  <w:num w:numId="7">
    <w:abstractNumId w:val="14"/>
  </w:num>
  <w:num w:numId="8">
    <w:abstractNumId w:val="9"/>
  </w:num>
  <w:num w:numId="9">
    <w:abstractNumId w:val="12"/>
  </w:num>
  <w:num w:numId="10">
    <w:abstractNumId w:val="4"/>
  </w:num>
  <w:num w:numId="11">
    <w:abstractNumId w:val="11"/>
  </w:num>
  <w:num w:numId="12">
    <w:abstractNumId w:val="2"/>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C27D1"/>
    <w:rsid w:val="00184881"/>
    <w:rsid w:val="00185A05"/>
    <w:rsid w:val="001A4350"/>
    <w:rsid w:val="001C64A1"/>
    <w:rsid w:val="001D0AA9"/>
    <w:rsid w:val="0021620E"/>
    <w:rsid w:val="002303F9"/>
    <w:rsid w:val="00257A8D"/>
    <w:rsid w:val="002802F3"/>
    <w:rsid w:val="002D6DA7"/>
    <w:rsid w:val="00323E24"/>
    <w:rsid w:val="00343B50"/>
    <w:rsid w:val="0038462B"/>
    <w:rsid w:val="003A74BA"/>
    <w:rsid w:val="00416897"/>
    <w:rsid w:val="00423787"/>
    <w:rsid w:val="00451700"/>
    <w:rsid w:val="0049222B"/>
    <w:rsid w:val="00497577"/>
    <w:rsid w:val="004E044B"/>
    <w:rsid w:val="00511F06"/>
    <w:rsid w:val="005D7EAF"/>
    <w:rsid w:val="006D1FD6"/>
    <w:rsid w:val="007A781E"/>
    <w:rsid w:val="008008FE"/>
    <w:rsid w:val="008049A3"/>
    <w:rsid w:val="008436BF"/>
    <w:rsid w:val="00853D70"/>
    <w:rsid w:val="00886DA0"/>
    <w:rsid w:val="00910CFA"/>
    <w:rsid w:val="00985E1D"/>
    <w:rsid w:val="009A72BD"/>
    <w:rsid w:val="009E33E0"/>
    <w:rsid w:val="00A23490"/>
    <w:rsid w:val="00A90914"/>
    <w:rsid w:val="00AA1182"/>
    <w:rsid w:val="00AD14FA"/>
    <w:rsid w:val="00AD1DE1"/>
    <w:rsid w:val="00AF1BB9"/>
    <w:rsid w:val="00AF55DA"/>
    <w:rsid w:val="00B13651"/>
    <w:rsid w:val="00B14FA9"/>
    <w:rsid w:val="00B47991"/>
    <w:rsid w:val="00CA0506"/>
    <w:rsid w:val="00D27462"/>
    <w:rsid w:val="00D53DF7"/>
    <w:rsid w:val="00D542C9"/>
    <w:rsid w:val="00DB6572"/>
    <w:rsid w:val="00DF0FE7"/>
    <w:rsid w:val="00E22441"/>
    <w:rsid w:val="00E36595"/>
    <w:rsid w:val="00E40A99"/>
    <w:rsid w:val="00E71116"/>
    <w:rsid w:val="00E84856"/>
    <w:rsid w:val="00E90251"/>
    <w:rsid w:val="00E959DC"/>
    <w:rsid w:val="00EC1670"/>
    <w:rsid w:val="00EC5666"/>
    <w:rsid w:val="00F3130A"/>
    <w:rsid w:val="00F73735"/>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D53DF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32278979">
      <w:bodyDiv w:val="1"/>
      <w:marLeft w:val="0"/>
      <w:marRight w:val="0"/>
      <w:marTop w:val="0"/>
      <w:marBottom w:val="0"/>
      <w:divBdr>
        <w:top w:val="none" w:sz="0" w:space="0" w:color="auto"/>
        <w:left w:val="none" w:sz="0" w:space="0" w:color="auto"/>
        <w:bottom w:val="none" w:sz="0" w:space="0" w:color="auto"/>
        <w:right w:val="none" w:sz="0" w:space="0" w:color="auto"/>
      </w:divBdr>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239973790">
      <w:bodyDiv w:val="1"/>
      <w:marLeft w:val="0"/>
      <w:marRight w:val="0"/>
      <w:marTop w:val="0"/>
      <w:marBottom w:val="0"/>
      <w:divBdr>
        <w:top w:val="none" w:sz="0" w:space="0" w:color="auto"/>
        <w:left w:val="none" w:sz="0" w:space="0" w:color="auto"/>
        <w:bottom w:val="none" w:sz="0" w:space="0" w:color="auto"/>
        <w:right w:val="none" w:sz="0" w:space="0" w:color="auto"/>
      </w:divBdr>
      <w:divsChild>
        <w:div w:id="984090581">
          <w:marLeft w:val="806"/>
          <w:marRight w:val="0"/>
          <w:marTop w:val="200"/>
          <w:marBottom w:val="0"/>
          <w:divBdr>
            <w:top w:val="none" w:sz="0" w:space="0" w:color="auto"/>
            <w:left w:val="none" w:sz="0" w:space="0" w:color="auto"/>
            <w:bottom w:val="none" w:sz="0" w:space="0" w:color="auto"/>
            <w:right w:val="none" w:sz="0" w:space="0" w:color="auto"/>
          </w:divBdr>
        </w:div>
        <w:div w:id="1330400526">
          <w:marLeft w:val="806"/>
          <w:marRight w:val="0"/>
          <w:marTop w:val="200"/>
          <w:marBottom w:val="0"/>
          <w:divBdr>
            <w:top w:val="none" w:sz="0" w:space="0" w:color="auto"/>
            <w:left w:val="none" w:sz="0" w:space="0" w:color="auto"/>
            <w:bottom w:val="none" w:sz="0" w:space="0" w:color="auto"/>
            <w:right w:val="none" w:sz="0" w:space="0" w:color="auto"/>
          </w:divBdr>
        </w:div>
        <w:div w:id="1015690977">
          <w:marLeft w:val="806"/>
          <w:marRight w:val="0"/>
          <w:marTop w:val="200"/>
          <w:marBottom w:val="0"/>
          <w:divBdr>
            <w:top w:val="none" w:sz="0" w:space="0" w:color="auto"/>
            <w:left w:val="none" w:sz="0" w:space="0" w:color="auto"/>
            <w:bottom w:val="none" w:sz="0" w:space="0" w:color="auto"/>
            <w:right w:val="none" w:sz="0" w:space="0" w:color="auto"/>
          </w:divBdr>
        </w:div>
        <w:div w:id="973483397">
          <w:marLeft w:val="806"/>
          <w:marRight w:val="0"/>
          <w:marTop w:val="200"/>
          <w:marBottom w:val="0"/>
          <w:divBdr>
            <w:top w:val="none" w:sz="0" w:space="0" w:color="auto"/>
            <w:left w:val="none" w:sz="0" w:space="0" w:color="auto"/>
            <w:bottom w:val="none" w:sz="0" w:space="0" w:color="auto"/>
            <w:right w:val="none" w:sz="0" w:space="0" w:color="auto"/>
          </w:divBdr>
        </w:div>
        <w:div w:id="178590254">
          <w:marLeft w:val="806"/>
          <w:marRight w:val="0"/>
          <w:marTop w:val="200"/>
          <w:marBottom w:val="0"/>
          <w:divBdr>
            <w:top w:val="none" w:sz="0" w:space="0" w:color="auto"/>
            <w:left w:val="none" w:sz="0" w:space="0" w:color="auto"/>
            <w:bottom w:val="none" w:sz="0" w:space="0" w:color="auto"/>
            <w:right w:val="none" w:sz="0" w:space="0" w:color="auto"/>
          </w:divBdr>
        </w:div>
        <w:div w:id="1488210636">
          <w:marLeft w:val="806"/>
          <w:marRight w:val="0"/>
          <w:marTop w:val="200"/>
          <w:marBottom w:val="0"/>
          <w:divBdr>
            <w:top w:val="none" w:sz="0" w:space="0" w:color="auto"/>
            <w:left w:val="none" w:sz="0" w:space="0" w:color="auto"/>
            <w:bottom w:val="none" w:sz="0" w:space="0" w:color="auto"/>
            <w:right w:val="none" w:sz="0" w:space="0" w:color="auto"/>
          </w:divBdr>
        </w:div>
        <w:div w:id="1741557696">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761826888">
      <w:bodyDiv w:val="1"/>
      <w:marLeft w:val="0"/>
      <w:marRight w:val="0"/>
      <w:marTop w:val="0"/>
      <w:marBottom w:val="0"/>
      <w:divBdr>
        <w:top w:val="none" w:sz="0" w:space="0" w:color="auto"/>
        <w:left w:val="none" w:sz="0" w:space="0" w:color="auto"/>
        <w:bottom w:val="none" w:sz="0" w:space="0" w:color="auto"/>
        <w:right w:val="none" w:sz="0" w:space="0" w:color="auto"/>
      </w:divBdr>
      <w:divsChild>
        <w:div w:id="666634708">
          <w:marLeft w:val="806"/>
          <w:marRight w:val="0"/>
          <w:marTop w:val="200"/>
          <w:marBottom w:val="0"/>
          <w:divBdr>
            <w:top w:val="none" w:sz="0" w:space="0" w:color="auto"/>
            <w:left w:val="none" w:sz="0" w:space="0" w:color="auto"/>
            <w:bottom w:val="none" w:sz="0" w:space="0" w:color="auto"/>
            <w:right w:val="none" w:sz="0" w:space="0" w:color="auto"/>
          </w:divBdr>
        </w:div>
        <w:div w:id="2078017923">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professionals/quality-patient-safety/quality-resources/tools/literacy-toolkit/healthlittoolkit2.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hospitalist.org/hospitalist/article/121632/use-teach-back-method-confirm-patient-understanding" TargetMode="External"/><Relationship Id="rId4" Type="http://schemas.openxmlformats.org/officeDocument/2006/relationships/webSettings" Target="webSettings.xml"/><Relationship Id="rId9" Type="http://schemas.openxmlformats.org/officeDocument/2006/relationships/hyperlink" Target="https://www.ahrq.gov/professionals/quality-patient-safety/quality-resources/tools/literacy-toolkit/healthlittoolkit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9</cp:revision>
  <cp:lastPrinted>2019-09-18T15:47:00Z</cp:lastPrinted>
  <dcterms:created xsi:type="dcterms:W3CDTF">2019-09-12T19:37:00Z</dcterms:created>
  <dcterms:modified xsi:type="dcterms:W3CDTF">2019-11-21T19:29:00Z</dcterms:modified>
</cp:coreProperties>
</file>