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7Colorful-Accent5"/>
        <w:tblpPr w:leftFromText="180" w:rightFromText="180" w:vertAnchor="page" w:horzAnchor="margin" w:tblpXSpec="center" w:tblpY="4066"/>
        <w:tblW w:w="11427" w:type="dxa"/>
        <w:tblLook w:val="04A0" w:firstRow="1" w:lastRow="0" w:firstColumn="1" w:lastColumn="0" w:noHBand="0" w:noVBand="1"/>
        <w:tblDescription w:val="Table of skill check for patient communication"/>
      </w:tblPr>
      <w:tblGrid>
        <w:gridCol w:w="7650"/>
        <w:gridCol w:w="1350"/>
        <w:gridCol w:w="1260"/>
        <w:gridCol w:w="1167"/>
      </w:tblGrid>
      <w:tr w:rsidR="0028247F" w:rsidRPr="0028247F" w:rsidTr="00CB4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0" w:type="dxa"/>
          </w:tcPr>
          <w:p w:rsidR="0028247F" w:rsidRPr="0028247F" w:rsidRDefault="0028247F" w:rsidP="00CB4ED3">
            <w:pPr>
              <w:spacing w:after="160" w:line="259" w:lineRule="auto"/>
            </w:pPr>
            <w:r w:rsidRPr="0028247F">
              <w:t> 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Disagree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Neutral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Agree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greeted the patient with a kind, welcoming attitude.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maintained appropriate eye contact while speaking with the patient.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listened without interrupting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247F" w:rsidRPr="0028247F" w:rsidTr="001F753C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 xml:space="preserve">I encouraged the patient to voice his or her concerns throughout the visit. 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spoke clearly and at a moderate pace. 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used non-medical language.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limited the discussion to fewer than 5 key points or topics.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gave specific, concrete explanations and instructions. 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repeated key points.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247F" w:rsidRPr="0028247F" w:rsidTr="001F753C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used graphics such as a picture, diagram, or model to help explain something to my patient (if applicable).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asked the patient what questions he or she had. 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7F">
              <w:t> </w:t>
            </w:r>
          </w:p>
        </w:tc>
      </w:tr>
      <w:tr w:rsidR="0028247F" w:rsidRPr="0028247F" w:rsidTr="001F753C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:rsidR="0028247F" w:rsidRPr="0028247F" w:rsidRDefault="0028247F" w:rsidP="00CB4ED3">
            <w:pPr>
              <w:spacing w:after="160" w:line="259" w:lineRule="auto"/>
              <w:rPr>
                <w:b/>
              </w:rPr>
            </w:pPr>
            <w:r w:rsidRPr="0028247F">
              <w:rPr>
                <w:b/>
              </w:rPr>
              <w:t>I checked that the patient understood the information I gave him or her.</w:t>
            </w:r>
          </w:p>
        </w:tc>
        <w:tc>
          <w:tcPr>
            <w:tcW w:w="135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260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  <w:tc>
          <w:tcPr>
            <w:tcW w:w="1167" w:type="dxa"/>
          </w:tcPr>
          <w:p w:rsidR="0028247F" w:rsidRPr="0028247F" w:rsidRDefault="0028247F" w:rsidP="00CB4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7F">
              <w:t> </w:t>
            </w:r>
          </w:p>
        </w:tc>
      </w:tr>
    </w:tbl>
    <w:p w:rsidR="00CB4ED3" w:rsidRDefault="00CB4ED3">
      <w:r>
        <w:t xml:space="preserve">This is a follow up from our discussion about clear communication. As you may remember, we discussed a number of strategies for communicating clearly with patients. This is a communication self-checklist from the Agency for Healthcare Research and Quality (AHRQ). I encourage you to take a few minutes to think through a recent patient encounter and complete this checklist. </w:t>
      </w:r>
    </w:p>
    <w:p w:rsidR="00CB4ED3" w:rsidRPr="0028247F" w:rsidRDefault="00CB4ED3">
      <w:r>
        <w:t>This is a time</w:t>
      </w:r>
      <w:r w:rsidR="00634244">
        <w:t xml:space="preserve"> for self-reflection</w:t>
      </w:r>
      <w:r>
        <w:t xml:space="preserve"> to </w:t>
      </w:r>
      <w:r w:rsidR="00634244">
        <w:t xml:space="preserve">allow you to </w:t>
      </w:r>
      <w:r>
        <w:t>think about what is working well and whe</w:t>
      </w:r>
      <w:r w:rsidR="00634244">
        <w:t xml:space="preserve">re you would like to improve when it comes to communication. I </w:t>
      </w:r>
      <w:proofErr w:type="gramStart"/>
      <w:r w:rsidR="00634244">
        <w:t>won’t</w:t>
      </w:r>
      <w:proofErr w:type="gramEnd"/>
      <w:r w:rsidR="00634244">
        <w:t xml:space="preserve"> be asking you to share this information in upcoming discussions. </w:t>
      </w:r>
      <w:bookmarkStart w:id="0" w:name="_GoBack"/>
      <w:bookmarkEnd w:id="0"/>
    </w:p>
    <w:sectPr w:rsidR="00CB4ED3" w:rsidRPr="0028247F" w:rsidSect="00A871B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08" w:rsidRDefault="001D3D08" w:rsidP="0028247F">
      <w:pPr>
        <w:spacing w:after="0" w:line="240" w:lineRule="auto"/>
      </w:pPr>
      <w:r>
        <w:separator/>
      </w:r>
    </w:p>
  </w:endnote>
  <w:endnote w:type="continuationSeparator" w:id="0">
    <w:p w:rsidR="001D3D08" w:rsidRDefault="001D3D08" w:rsidP="0028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D6" w:rsidRPr="00634244" w:rsidRDefault="00634244" w:rsidP="00634244">
    <w:pPr>
      <w:pStyle w:val="Footer"/>
    </w:pPr>
    <w:r>
      <w:t xml:space="preserve">Source: </w:t>
    </w:r>
    <w:proofErr w:type="spellStart"/>
    <w:r w:rsidR="00615EAB" w:rsidRPr="00634244">
      <w:t>Brega</w:t>
    </w:r>
    <w:proofErr w:type="spellEnd"/>
    <w:r w:rsidR="00615EAB" w:rsidRPr="00634244">
      <w:t xml:space="preserve"> AG, Barnard J, </w:t>
    </w:r>
    <w:proofErr w:type="spellStart"/>
    <w:r w:rsidR="00615EAB" w:rsidRPr="00634244">
      <w:t>Mabachi</w:t>
    </w:r>
    <w:proofErr w:type="spellEnd"/>
    <w:r w:rsidR="00615EAB" w:rsidRPr="00634244">
      <w:t xml:space="preserve"> NM, Weiss BD, </w:t>
    </w:r>
    <w:proofErr w:type="spellStart"/>
    <w:r w:rsidR="00615EAB" w:rsidRPr="00634244">
      <w:t>DeWalt</w:t>
    </w:r>
    <w:proofErr w:type="spellEnd"/>
    <w:r w:rsidR="00615EAB" w:rsidRPr="00634244">
      <w:t xml:space="preserve"> DA, Brach C, </w:t>
    </w:r>
    <w:proofErr w:type="spellStart"/>
    <w:r w:rsidR="00615EAB" w:rsidRPr="00634244">
      <w:t>Cifuentes</w:t>
    </w:r>
    <w:proofErr w:type="spellEnd"/>
    <w:r w:rsidR="00615EAB" w:rsidRPr="00634244">
      <w:t xml:space="preserve"> M, Albright K, West, DR. (2015). AHRQ Health Literacy Universal Precautions Toolkit, Second Edition. (Prepared by Colorado Health Outcomes Program, University of Colorado Anschutz Medical Campus under Contract No. HHSA290200710008, TO#10.) AHRQ Publication No. 15-0023-EF. Rockville, MD. Agency for Healthcare Research and Quality. Retrieved from </w:t>
    </w:r>
    <w:hyperlink r:id="rId1" w:history="1">
      <w:r w:rsidR="00615EAB" w:rsidRPr="00634244">
        <w:rPr>
          <w:rStyle w:val="Hyperlink"/>
        </w:rPr>
        <w:t>URL to Source</w:t>
      </w:r>
    </w:hyperlink>
  </w:p>
  <w:p w:rsidR="00634244" w:rsidRDefault="00634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08" w:rsidRDefault="001D3D08" w:rsidP="0028247F">
      <w:pPr>
        <w:spacing w:after="0" w:line="240" w:lineRule="auto"/>
      </w:pPr>
      <w:r>
        <w:separator/>
      </w:r>
    </w:p>
  </w:footnote>
  <w:footnote w:type="continuationSeparator" w:id="0">
    <w:p w:rsidR="001D3D08" w:rsidRDefault="001D3D08" w:rsidP="0028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BB" w:rsidRPr="00A871BB" w:rsidRDefault="00A871BB" w:rsidP="00A871BB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A871BB">
      <w:rPr>
        <w:b/>
        <w:iCs/>
        <w:color w:val="2F5496" w:themeColor="accent5" w:themeShade="BF"/>
        <w:sz w:val="60"/>
        <w:szCs w:val="60"/>
      </w:rPr>
      <w:t>E-mail Follow up Option #2</w:t>
    </w:r>
  </w:p>
  <w:p w:rsidR="00A871BB" w:rsidRPr="00A871BB" w:rsidRDefault="00A871BB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3E08"/>
    <w:multiLevelType w:val="hybridMultilevel"/>
    <w:tmpl w:val="1572F5A4"/>
    <w:lvl w:ilvl="0" w:tplc="309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A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4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E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B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A0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E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2D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C6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A6"/>
    <w:rsid w:val="001D3D08"/>
    <w:rsid w:val="001F753C"/>
    <w:rsid w:val="0028247F"/>
    <w:rsid w:val="003810D6"/>
    <w:rsid w:val="003A7D9A"/>
    <w:rsid w:val="004549AC"/>
    <w:rsid w:val="00536FFB"/>
    <w:rsid w:val="00615EAB"/>
    <w:rsid w:val="00634244"/>
    <w:rsid w:val="00894C69"/>
    <w:rsid w:val="008D6661"/>
    <w:rsid w:val="00A871BB"/>
    <w:rsid w:val="00A952DD"/>
    <w:rsid w:val="00AB1950"/>
    <w:rsid w:val="00BE47A6"/>
    <w:rsid w:val="00CB4ED3"/>
    <w:rsid w:val="00E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57414-455A-4A95-85FC-51E1B8C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28247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7F"/>
  </w:style>
  <w:style w:type="paragraph" w:styleId="Footer">
    <w:name w:val="footer"/>
    <w:basedOn w:val="Normal"/>
    <w:link w:val="FooterChar"/>
    <w:uiPriority w:val="99"/>
    <w:unhideWhenUsed/>
    <w:rsid w:val="0028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7F"/>
  </w:style>
  <w:style w:type="character" w:styleId="Hyperlink">
    <w:name w:val="Hyperlink"/>
    <w:basedOn w:val="DefaultParagraphFont"/>
    <w:uiPriority w:val="99"/>
    <w:unhideWhenUsed/>
    <w:rsid w:val="00634244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871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7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hrq.gov/professionals/quality-patient-safety/quality-resources/tools/literacy-toolkit/healthlittoolkit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4</cp:revision>
  <dcterms:created xsi:type="dcterms:W3CDTF">2019-09-12T19:26:00Z</dcterms:created>
  <dcterms:modified xsi:type="dcterms:W3CDTF">2019-11-21T17:23:00Z</dcterms:modified>
</cp:coreProperties>
</file>