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12" w:rsidRDefault="00355A12"/>
    <w:p w:rsidR="007C28C9" w:rsidRDefault="00B35070">
      <w:r>
        <w:t xml:space="preserve">Hello everyone, </w:t>
      </w:r>
    </w:p>
    <w:p w:rsidR="00B35070" w:rsidRDefault="00B35070">
      <w:r>
        <w:t>A</w:t>
      </w:r>
      <w:r w:rsidR="00B80AF2">
        <w:t>s follow up from module two of Clinical C</w:t>
      </w:r>
      <w:r>
        <w:t xml:space="preserve">onversations, one of our objectives was to consider health literacy trends nationally and locally. Here are some of the national trends we discussed from the National Assessment of Adult Literacy. </w:t>
      </w:r>
    </w:p>
    <w:p w:rsidR="00533036" w:rsidRPr="00B35070" w:rsidRDefault="007B4C86" w:rsidP="00B35070">
      <w:pPr>
        <w:numPr>
          <w:ilvl w:val="0"/>
          <w:numId w:val="1"/>
        </w:numPr>
      </w:pPr>
      <w:r w:rsidRPr="00B35070">
        <w:t xml:space="preserve">The </w:t>
      </w:r>
      <w:r w:rsidRPr="00B35070">
        <w:rPr>
          <w:b/>
          <w:bCs/>
        </w:rPr>
        <w:t xml:space="preserve">National Assessment of Adult Literacy </w:t>
      </w:r>
      <w:r w:rsidRPr="00B35070">
        <w:t>measured health literacy in adults 16+ in 2003</w:t>
      </w:r>
      <w:r w:rsidR="00B35070">
        <w:rPr>
          <w:vertAlign w:val="superscript"/>
        </w:rPr>
        <w:t>1</w:t>
      </w:r>
    </w:p>
    <w:p w:rsidR="00533036" w:rsidRPr="00B35070" w:rsidRDefault="007B4C86" w:rsidP="00B35070">
      <w:pPr>
        <w:numPr>
          <w:ilvl w:val="0"/>
          <w:numId w:val="1"/>
        </w:numPr>
      </w:pPr>
      <w:r w:rsidRPr="00B35070">
        <w:t>Looked at health literacy tasks in clinical, prevention and health care system domains</w:t>
      </w:r>
      <w:r w:rsidR="00B35070">
        <w:rPr>
          <w:vertAlign w:val="superscript"/>
        </w:rPr>
        <w:t>1</w:t>
      </w:r>
    </w:p>
    <w:p w:rsidR="00533036" w:rsidRPr="00B35070" w:rsidRDefault="007B4C86" w:rsidP="00B35070">
      <w:pPr>
        <w:numPr>
          <w:ilvl w:val="0"/>
          <w:numId w:val="1"/>
        </w:numPr>
      </w:pPr>
      <w:r w:rsidRPr="00B35070">
        <w:t xml:space="preserve">Only </w:t>
      </w:r>
      <w:r w:rsidRPr="00B35070">
        <w:rPr>
          <w:b/>
          <w:bCs/>
        </w:rPr>
        <w:t xml:space="preserve">12% </w:t>
      </w:r>
      <w:r w:rsidRPr="00B35070">
        <w:t xml:space="preserve">of English-speaking adults in the United States had </w:t>
      </w:r>
      <w:r w:rsidRPr="00B35070">
        <w:rPr>
          <w:b/>
          <w:bCs/>
        </w:rPr>
        <w:t>proficient health literacy skills</w:t>
      </w:r>
      <w:r w:rsidR="00B35070">
        <w:rPr>
          <w:b/>
          <w:bCs/>
          <w:vertAlign w:val="superscript"/>
        </w:rPr>
        <w:t>1</w:t>
      </w:r>
    </w:p>
    <w:p w:rsidR="00B35070" w:rsidRDefault="00B35070">
      <w:r>
        <w:t xml:space="preserve">If you are interested in looking at trends in our region, the </w:t>
      </w:r>
      <w:hyperlink r:id="rId7" w:history="1">
        <w:r w:rsidRPr="007B4C86">
          <w:rPr>
            <w:rStyle w:val="Hyperlink"/>
          </w:rPr>
          <w:t>Health Literacy Data Map</w:t>
        </w:r>
      </w:hyperlink>
      <w:r>
        <w:t xml:space="preserve"> from </w:t>
      </w:r>
      <w:r w:rsidRPr="00B35070">
        <w:t>the University of North Carolina at Chapel Hill</w:t>
      </w:r>
      <w:r>
        <w:t xml:space="preserve"> shows estimated health literacy at a local level. However, as a reminder from our conversation, the levels used in this tool are </w:t>
      </w:r>
      <w:r w:rsidRPr="00B35070">
        <w:t xml:space="preserve">estimates based on demographic characteristics </w:t>
      </w:r>
      <w:r>
        <w:t>from the census</w:t>
      </w:r>
      <w:r w:rsidRPr="00B35070">
        <w:t xml:space="preserve">. Therefore, the estimates may not be </w:t>
      </w:r>
      <w:r>
        <w:t>representative of</w:t>
      </w:r>
      <w:r w:rsidRPr="00B35070">
        <w:t xml:space="preserve"> every person who lives in a particular census block group. </w:t>
      </w:r>
      <w:r>
        <w:t xml:space="preserve"> </w:t>
      </w:r>
    </w:p>
    <w:p w:rsidR="007B4C86" w:rsidRDefault="007B4C86"/>
    <w:p w:rsidR="00B35070" w:rsidRDefault="00B35070">
      <w:r>
        <w:t xml:space="preserve">References: </w:t>
      </w:r>
    </w:p>
    <w:p w:rsidR="00533036" w:rsidRPr="00B35070" w:rsidRDefault="007B4C86" w:rsidP="00B35070">
      <w:pPr>
        <w:numPr>
          <w:ilvl w:val="0"/>
          <w:numId w:val="2"/>
        </w:numPr>
      </w:pPr>
      <w:r w:rsidRPr="00B35070">
        <w:t xml:space="preserve">U.S. Department of Education (2006). The Health Literacy of America’s Adults: Results from the 2003 National Assessment of Adult Literacy. Retrieved from: </w:t>
      </w:r>
      <w:hyperlink r:id="rId8" w:history="1">
        <w:r w:rsidRPr="00B35070">
          <w:rPr>
            <w:rStyle w:val="Hyperlink"/>
          </w:rPr>
          <w:t xml:space="preserve">URL to </w:t>
        </w:r>
      </w:hyperlink>
      <w:hyperlink r:id="rId9" w:history="1">
        <w:r w:rsidRPr="00B35070">
          <w:rPr>
            <w:rStyle w:val="Hyperlink"/>
          </w:rPr>
          <w:t>Source</w:t>
        </w:r>
      </w:hyperlink>
    </w:p>
    <w:p w:rsidR="00B35070" w:rsidRDefault="00B35070"/>
    <w:sectPr w:rsidR="00B35070" w:rsidSect="00355A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53" w:rsidRDefault="00300753" w:rsidP="00355A12">
      <w:pPr>
        <w:spacing w:after="0" w:line="240" w:lineRule="auto"/>
      </w:pPr>
      <w:r>
        <w:separator/>
      </w:r>
    </w:p>
  </w:endnote>
  <w:endnote w:type="continuationSeparator" w:id="0">
    <w:p w:rsidR="00300753" w:rsidRDefault="00300753" w:rsidP="0035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A4D" w:rsidRDefault="00D43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A4D" w:rsidRDefault="00D43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A4D" w:rsidRDefault="00D43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53" w:rsidRDefault="00300753" w:rsidP="00355A12">
      <w:pPr>
        <w:spacing w:after="0" w:line="240" w:lineRule="auto"/>
      </w:pPr>
      <w:r>
        <w:separator/>
      </w:r>
    </w:p>
  </w:footnote>
  <w:footnote w:type="continuationSeparator" w:id="0">
    <w:p w:rsidR="00300753" w:rsidRDefault="00300753" w:rsidP="00355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A4D" w:rsidRDefault="00D43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A4D" w:rsidRDefault="00D43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A12" w:rsidRPr="00355A12" w:rsidRDefault="00D43A4D" w:rsidP="00355A12">
    <w:pPr>
      <w:pStyle w:val="Header"/>
      <w:jc w:val="center"/>
      <w:rPr>
        <w:rStyle w:val="SubtleEmphasis"/>
        <w:color w:val="2F5496" w:themeColor="accent5" w:themeShade="BF"/>
        <w:sz w:val="60"/>
        <w:szCs w:val="60"/>
      </w:rPr>
    </w:pPr>
    <w:bookmarkStart w:id="0" w:name="_GoBack"/>
    <w:r>
      <w:rPr>
        <w:b/>
        <w:iCs/>
        <w:color w:val="2F5496" w:themeColor="accent5" w:themeShade="BF"/>
        <w:sz w:val="60"/>
        <w:szCs w:val="60"/>
      </w:rPr>
      <w:t>E-mail Follow up O</w:t>
    </w:r>
    <w:r w:rsidR="00355A12" w:rsidRPr="00355A12">
      <w:rPr>
        <w:b/>
        <w:iCs/>
        <w:color w:val="2F5496" w:themeColor="accent5" w:themeShade="BF"/>
        <w:sz w:val="60"/>
        <w:szCs w:val="60"/>
      </w:rPr>
      <w:t>ption #2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EC5"/>
    <w:multiLevelType w:val="hybridMultilevel"/>
    <w:tmpl w:val="C9AED6D6"/>
    <w:lvl w:ilvl="0" w:tplc="66F42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5AD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EA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E1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E6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0B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34C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D6F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C7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B8B1282"/>
    <w:multiLevelType w:val="hybridMultilevel"/>
    <w:tmpl w:val="573ABAAC"/>
    <w:lvl w:ilvl="0" w:tplc="01EC0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D6A5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D853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183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C4C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523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0A2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A6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A58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FE"/>
    <w:rsid w:val="00300753"/>
    <w:rsid w:val="00355A12"/>
    <w:rsid w:val="00533036"/>
    <w:rsid w:val="007B4C86"/>
    <w:rsid w:val="00894C69"/>
    <w:rsid w:val="008D6661"/>
    <w:rsid w:val="00B35070"/>
    <w:rsid w:val="00B80AF2"/>
    <w:rsid w:val="00D43A4D"/>
    <w:rsid w:val="00F1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CBD2"/>
  <w15:chartTrackingRefBased/>
  <w15:docId w15:val="{807DDBCE-6824-4E53-A922-350962F0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07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5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A12"/>
  </w:style>
  <w:style w:type="paragraph" w:styleId="Footer">
    <w:name w:val="footer"/>
    <w:basedOn w:val="Normal"/>
    <w:link w:val="FooterChar"/>
    <w:uiPriority w:val="99"/>
    <w:unhideWhenUsed/>
    <w:rsid w:val="00355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A12"/>
  </w:style>
  <w:style w:type="character" w:styleId="SubtleEmphasis">
    <w:name w:val="Subtle Emphasis"/>
    <w:basedOn w:val="DefaultParagraphFont"/>
    <w:uiPriority w:val="19"/>
    <w:qFormat/>
    <w:rsid w:val="00355A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13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8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pubsearch/pubsinfo.asp?pubid=200648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healthliteracymap.unc.ed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ces.ed.gov/pubsearch/pubsinfo.asp?pubid=200648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6</cp:revision>
  <cp:lastPrinted>2019-09-18T15:25:00Z</cp:lastPrinted>
  <dcterms:created xsi:type="dcterms:W3CDTF">2019-08-14T13:23:00Z</dcterms:created>
  <dcterms:modified xsi:type="dcterms:W3CDTF">2019-09-18T15:25:00Z</dcterms:modified>
</cp:coreProperties>
</file>