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8D4E" w14:textId="264076C0" w:rsidR="001C041E" w:rsidRPr="001C041E" w:rsidRDefault="001C041E" w:rsidP="006E5A5E">
      <w:pPr>
        <w:spacing w:line="288" w:lineRule="auto"/>
        <w:ind w:firstLine="360"/>
        <w:rPr>
          <w:b/>
          <w:sz w:val="28"/>
          <w:szCs w:val="28"/>
        </w:rPr>
      </w:pPr>
      <w:r w:rsidRPr="001C041E">
        <w:rPr>
          <w:b/>
          <w:sz w:val="28"/>
          <w:szCs w:val="28"/>
        </w:rPr>
        <w:t>Health Literacy in the U.S.</w:t>
      </w:r>
    </w:p>
    <w:p w14:paraId="0582809D" w14:textId="2EA42E9A" w:rsidR="008C05E7" w:rsidRDefault="00C103B1" w:rsidP="007A781E">
      <w:pPr>
        <w:spacing w:line="288" w:lineRule="auto"/>
        <w:ind w:left="360"/>
        <w:rPr>
          <w:bCs/>
          <w:sz w:val="28"/>
          <w:szCs w:val="28"/>
        </w:rPr>
      </w:pPr>
      <w:r w:rsidRPr="008049A3">
        <w:rPr>
          <w:sz w:val="28"/>
          <w:szCs w:val="28"/>
        </w:rPr>
        <w:t xml:space="preserve">The </w:t>
      </w:r>
      <w:r w:rsidRPr="001C041E">
        <w:rPr>
          <w:bCs/>
          <w:sz w:val="28"/>
          <w:szCs w:val="28"/>
        </w:rPr>
        <w:t xml:space="preserve">National Assessment of Adult Literacy </w:t>
      </w:r>
      <w:r w:rsidRPr="001C041E">
        <w:rPr>
          <w:sz w:val="28"/>
          <w:szCs w:val="28"/>
        </w:rPr>
        <w:t>measured health literacy in adults 16+ in 2003</w:t>
      </w:r>
      <w:r w:rsidRPr="001C041E">
        <w:rPr>
          <w:sz w:val="28"/>
          <w:szCs w:val="28"/>
          <w:vertAlign w:val="superscript"/>
        </w:rPr>
        <w:t>8</w:t>
      </w:r>
      <w:r w:rsidR="008049A3" w:rsidRPr="001C041E">
        <w:rPr>
          <w:sz w:val="28"/>
          <w:szCs w:val="28"/>
          <w:vertAlign w:val="superscript"/>
        </w:rPr>
        <w:t xml:space="preserve">. </w:t>
      </w:r>
      <w:r w:rsidR="008049A3" w:rsidRPr="001C041E">
        <w:rPr>
          <w:sz w:val="28"/>
          <w:szCs w:val="28"/>
        </w:rPr>
        <w:t>Results showed that o</w:t>
      </w:r>
      <w:r w:rsidRPr="001C041E">
        <w:rPr>
          <w:sz w:val="28"/>
          <w:szCs w:val="28"/>
        </w:rPr>
        <w:t xml:space="preserve">nly </w:t>
      </w:r>
      <w:r w:rsidR="008049A3" w:rsidRPr="001C041E">
        <w:rPr>
          <w:bCs/>
          <w:sz w:val="28"/>
          <w:szCs w:val="28"/>
        </w:rPr>
        <w:t xml:space="preserve">_______ </w:t>
      </w:r>
      <w:proofErr w:type="gramStart"/>
      <w:r w:rsidRPr="001C041E">
        <w:rPr>
          <w:bCs/>
          <w:sz w:val="28"/>
          <w:szCs w:val="28"/>
        </w:rPr>
        <w:t>%</w:t>
      </w:r>
      <w:proofErr w:type="gramEnd"/>
      <w:r w:rsidRPr="001C041E">
        <w:rPr>
          <w:bCs/>
          <w:sz w:val="28"/>
          <w:szCs w:val="28"/>
        </w:rPr>
        <w:t xml:space="preserve"> </w:t>
      </w:r>
      <w:r w:rsidRPr="001C041E">
        <w:rPr>
          <w:sz w:val="28"/>
          <w:szCs w:val="28"/>
        </w:rPr>
        <w:t xml:space="preserve">of English-speaking adults in the United States had </w:t>
      </w:r>
      <w:r w:rsidRPr="001C041E">
        <w:rPr>
          <w:bCs/>
          <w:sz w:val="28"/>
          <w:szCs w:val="28"/>
        </w:rPr>
        <w:t>proficient health literacy skills</w:t>
      </w:r>
      <w:r w:rsidRPr="001C041E">
        <w:rPr>
          <w:bCs/>
          <w:sz w:val="28"/>
          <w:szCs w:val="28"/>
          <w:vertAlign w:val="superscript"/>
        </w:rPr>
        <w:t>8</w:t>
      </w:r>
      <w:r w:rsidR="008049A3" w:rsidRPr="001C041E">
        <w:rPr>
          <w:bCs/>
          <w:sz w:val="28"/>
          <w:szCs w:val="28"/>
        </w:rPr>
        <w:t>.</w:t>
      </w:r>
    </w:p>
    <w:p w14:paraId="016C3017" w14:textId="35D7FCBB" w:rsidR="007A781E" w:rsidRDefault="001C041E" w:rsidP="007A781E">
      <w:pPr>
        <w:spacing w:line="288" w:lineRule="auto"/>
        <w:ind w:left="360"/>
        <w:rPr>
          <w:b/>
          <w:sz w:val="28"/>
          <w:szCs w:val="28"/>
        </w:rPr>
      </w:pPr>
      <w:r w:rsidRPr="001C041E">
        <w:rPr>
          <w:b/>
          <w:sz w:val="28"/>
          <w:szCs w:val="28"/>
        </w:rPr>
        <w:t>Readability ≠ Plain Language ≠ Health Literacy</w:t>
      </w:r>
    </w:p>
    <w:p w14:paraId="22B060A4" w14:textId="4F993D8C" w:rsidR="007A781E" w:rsidRPr="001C041E" w:rsidRDefault="007A781E" w:rsidP="001C041E">
      <w:pPr>
        <w:spacing w:line="288" w:lineRule="auto"/>
        <w:ind w:left="360"/>
        <w:rPr>
          <w:sz w:val="28"/>
          <w:szCs w:val="28"/>
          <w:vertAlign w:val="superscript"/>
        </w:rPr>
      </w:pPr>
      <w:r w:rsidRPr="001C041E">
        <w:rPr>
          <w:sz w:val="28"/>
          <w:szCs w:val="28"/>
        </w:rPr>
        <w:t>Readability measures the complexity of printed materials</w:t>
      </w:r>
      <w:r w:rsidRPr="001C041E">
        <w:rPr>
          <w:sz w:val="28"/>
          <w:szCs w:val="28"/>
          <w:vertAlign w:val="superscript"/>
        </w:rPr>
        <w:t xml:space="preserve"> </w:t>
      </w:r>
      <w:r w:rsidRPr="001C041E">
        <w:rPr>
          <w:sz w:val="28"/>
          <w:szCs w:val="28"/>
        </w:rPr>
        <w:t>and plain language is communication that someone can understand the first time</w:t>
      </w:r>
      <w:r w:rsidRPr="001C041E">
        <w:rPr>
          <w:sz w:val="28"/>
          <w:szCs w:val="28"/>
          <w:vertAlign w:val="superscript"/>
        </w:rPr>
        <w:t>3</w:t>
      </w:r>
      <w:r w:rsidRPr="001C041E">
        <w:rPr>
          <w:sz w:val="28"/>
          <w:szCs w:val="28"/>
        </w:rPr>
        <w:t>. Addressing health literacy also means making the content understandable and __________________ for everyone</w:t>
      </w:r>
      <w:r w:rsidRPr="001C041E">
        <w:rPr>
          <w:sz w:val="28"/>
          <w:szCs w:val="28"/>
          <w:vertAlign w:val="superscript"/>
        </w:rPr>
        <w:t>4</w:t>
      </w:r>
    </w:p>
    <w:p w14:paraId="12EF8EFE" w14:textId="2E7D9456" w:rsidR="007A781E" w:rsidRPr="007A781E" w:rsidRDefault="007A781E" w:rsidP="008049A3">
      <w:pPr>
        <w:spacing w:line="360" w:lineRule="auto"/>
        <w:ind w:left="360"/>
        <w:rPr>
          <w:b/>
          <w:sz w:val="28"/>
          <w:szCs w:val="28"/>
        </w:rPr>
      </w:pPr>
      <w:r w:rsidRPr="007A781E">
        <w:rPr>
          <w:b/>
          <w:sz w:val="28"/>
          <w:szCs w:val="28"/>
        </w:rPr>
        <w:t>Health Literacy Red Flags:</w:t>
      </w:r>
    </w:p>
    <w:p w14:paraId="0D317466" w14:textId="77777777" w:rsidR="007A781E" w:rsidRPr="007A781E" w:rsidRDefault="007A781E" w:rsidP="007A781E">
      <w:pPr>
        <w:pStyle w:val="ListParagraph"/>
        <w:numPr>
          <w:ilvl w:val="0"/>
          <w:numId w:val="8"/>
        </w:numPr>
        <w:spacing w:line="240" w:lineRule="auto"/>
        <w:rPr>
          <w:sz w:val="28"/>
          <w:szCs w:val="28"/>
        </w:rPr>
      </w:pPr>
      <w:r w:rsidRPr="007A781E">
        <w:rPr>
          <w:sz w:val="28"/>
          <w:szCs w:val="28"/>
        </w:rPr>
        <w:t>Forms incomplete or incorrectly filled out</w:t>
      </w:r>
    </w:p>
    <w:p w14:paraId="3D4B257A" w14:textId="77777777" w:rsidR="007A781E" w:rsidRPr="007A781E" w:rsidRDefault="007A781E" w:rsidP="007A781E">
      <w:pPr>
        <w:pStyle w:val="ListParagraph"/>
        <w:numPr>
          <w:ilvl w:val="0"/>
          <w:numId w:val="8"/>
        </w:numPr>
        <w:spacing w:line="240" w:lineRule="auto"/>
        <w:rPr>
          <w:sz w:val="28"/>
          <w:szCs w:val="28"/>
        </w:rPr>
      </w:pPr>
      <w:r w:rsidRPr="007A781E">
        <w:rPr>
          <w:sz w:val="28"/>
          <w:szCs w:val="28"/>
        </w:rPr>
        <w:t>Non-adherence to medication instructions</w:t>
      </w:r>
    </w:p>
    <w:p w14:paraId="06E98A8C" w14:textId="77777777" w:rsidR="007A781E" w:rsidRPr="007A781E" w:rsidRDefault="007A781E" w:rsidP="007A781E">
      <w:pPr>
        <w:pStyle w:val="ListParagraph"/>
        <w:numPr>
          <w:ilvl w:val="0"/>
          <w:numId w:val="8"/>
        </w:numPr>
        <w:spacing w:line="240" w:lineRule="auto"/>
        <w:rPr>
          <w:sz w:val="28"/>
          <w:szCs w:val="28"/>
        </w:rPr>
      </w:pPr>
      <w:r w:rsidRPr="007A781E">
        <w:rPr>
          <w:sz w:val="28"/>
          <w:szCs w:val="28"/>
        </w:rPr>
        <w:t>Can’t name medications, purpose, or how to take</w:t>
      </w:r>
    </w:p>
    <w:p w14:paraId="4874CC70" w14:textId="24A52311" w:rsidR="007A781E" w:rsidRPr="007A781E" w:rsidRDefault="007A781E" w:rsidP="007A781E">
      <w:pPr>
        <w:pStyle w:val="ListParagraph"/>
        <w:numPr>
          <w:ilvl w:val="0"/>
          <w:numId w:val="8"/>
        </w:numPr>
        <w:spacing w:line="240" w:lineRule="auto"/>
        <w:rPr>
          <w:sz w:val="28"/>
          <w:szCs w:val="28"/>
        </w:rPr>
      </w:pPr>
      <w:r w:rsidRPr="007A781E">
        <w:rPr>
          <w:sz w:val="28"/>
          <w:szCs w:val="28"/>
        </w:rPr>
        <w:t xml:space="preserve">Frequently </w:t>
      </w:r>
      <w:r w:rsidR="001C041E">
        <w:rPr>
          <w:sz w:val="28"/>
          <w:szCs w:val="28"/>
        </w:rPr>
        <w:t>__________________</w:t>
      </w:r>
    </w:p>
    <w:p w14:paraId="43D3CBA4" w14:textId="77777777" w:rsidR="007A781E" w:rsidRPr="007A781E" w:rsidRDefault="007A781E" w:rsidP="007A781E">
      <w:pPr>
        <w:pStyle w:val="ListParagraph"/>
        <w:numPr>
          <w:ilvl w:val="0"/>
          <w:numId w:val="8"/>
        </w:numPr>
        <w:spacing w:line="240" w:lineRule="auto"/>
        <w:rPr>
          <w:sz w:val="28"/>
          <w:szCs w:val="28"/>
        </w:rPr>
      </w:pPr>
      <w:r w:rsidRPr="007A781E">
        <w:rPr>
          <w:sz w:val="28"/>
          <w:szCs w:val="28"/>
        </w:rPr>
        <w:t>Anger</w:t>
      </w:r>
    </w:p>
    <w:p w14:paraId="2F381C16" w14:textId="04E3332C" w:rsidR="007A781E" w:rsidRPr="007A781E" w:rsidRDefault="007A781E" w:rsidP="007A781E">
      <w:pPr>
        <w:pStyle w:val="ListParagraph"/>
        <w:numPr>
          <w:ilvl w:val="0"/>
          <w:numId w:val="8"/>
        </w:numPr>
        <w:spacing w:line="240" w:lineRule="auto"/>
        <w:rPr>
          <w:sz w:val="28"/>
          <w:szCs w:val="28"/>
        </w:rPr>
      </w:pPr>
      <w:r w:rsidRPr="007A781E">
        <w:rPr>
          <w:sz w:val="28"/>
          <w:szCs w:val="28"/>
        </w:rPr>
        <w:t>“I forgot my glasses”</w:t>
      </w:r>
    </w:p>
    <w:p w14:paraId="53DD4943" w14:textId="44F6DA6D" w:rsidR="00E71116" w:rsidRPr="007A781E" w:rsidRDefault="007A781E" w:rsidP="007A781E">
      <w:pPr>
        <w:pStyle w:val="ListParagraph"/>
        <w:numPr>
          <w:ilvl w:val="0"/>
          <w:numId w:val="8"/>
        </w:numPr>
        <w:spacing w:line="240" w:lineRule="auto"/>
        <w:rPr>
          <w:sz w:val="28"/>
          <w:szCs w:val="28"/>
        </w:rPr>
      </w:pPr>
      <w:r w:rsidRPr="007A781E">
        <w:rPr>
          <w:sz w:val="28"/>
          <w:szCs w:val="28"/>
        </w:rPr>
        <w:t>“My wife, friend etc. usually takes care of…”</w:t>
      </w:r>
      <w:r w:rsidRPr="007A781E">
        <w:rPr>
          <w:sz w:val="28"/>
          <w:szCs w:val="28"/>
          <w:vertAlign w:val="superscript"/>
        </w:rPr>
        <w:t>1</w:t>
      </w:r>
    </w:p>
    <w:p w14:paraId="0AF90C2F" w14:textId="1419BC5F" w:rsidR="00E71116" w:rsidRDefault="00E71116" w:rsidP="001A4350">
      <w:pPr>
        <w:pStyle w:val="ListParagraph"/>
      </w:pPr>
    </w:p>
    <w:p w14:paraId="4DA67361" w14:textId="4D265E70" w:rsidR="00E71116" w:rsidRDefault="007A781E" w:rsidP="001F081A">
      <w:pPr>
        <w:pStyle w:val="ListParagraph"/>
        <w:jc w:val="center"/>
      </w:pPr>
      <w:r w:rsidRPr="008049A3">
        <w:rPr>
          <w:noProof/>
        </w:rPr>
        <w:drawing>
          <wp:inline distT="0" distB="0" distL="0" distR="0" wp14:anchorId="54EC059E" wp14:editId="3D039094">
            <wp:extent cx="5505450" cy="3096260"/>
            <wp:effectExtent l="19050" t="19050" r="19050" b="27940"/>
            <wp:docPr id="1" name="Picture 1" descr="Screenshot of slide from powerpoint with take home message. Practice: Do you notice any health literacy red flags when working with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05450" cy="3096260"/>
                    </a:xfrm>
                    <a:prstGeom prst="rect">
                      <a:avLst/>
                    </a:prstGeom>
                    <a:ln>
                      <a:solidFill>
                        <a:schemeClr val="tx1"/>
                      </a:solidFill>
                    </a:ln>
                  </pic:spPr>
                </pic:pic>
              </a:graphicData>
            </a:graphic>
          </wp:inline>
        </w:drawing>
      </w:r>
    </w:p>
    <w:p w14:paraId="2350234D" w14:textId="3FB0D162" w:rsidR="00CA0506" w:rsidRDefault="00CA0506" w:rsidP="009E33E0">
      <w:r>
        <w:lastRenderedPageBreak/>
        <w:t xml:space="preserve">References: </w:t>
      </w:r>
    </w:p>
    <w:p w14:paraId="0ADC7EA2" w14:textId="77777777" w:rsidR="00E40A99" w:rsidRDefault="00E40A99" w:rsidP="001A4350">
      <w:pPr>
        <w:pStyle w:val="ListParagraph"/>
      </w:pPr>
    </w:p>
    <w:p w14:paraId="245D4110" w14:textId="77777777" w:rsidR="008C05E7" w:rsidRPr="0038462B" w:rsidRDefault="00C103B1" w:rsidP="0038462B">
      <w:pPr>
        <w:pStyle w:val="ListParagraph"/>
        <w:numPr>
          <w:ilvl w:val="0"/>
          <w:numId w:val="9"/>
        </w:numPr>
      </w:pPr>
      <w:r w:rsidRPr="0038462B">
        <w:t>AMA Foundation (2007). Health literacy and patient safety: Help patients understand. Retrieved from URL to source</w:t>
      </w:r>
    </w:p>
    <w:p w14:paraId="2895BF82" w14:textId="77777777" w:rsidR="008C05E7" w:rsidRPr="0038462B" w:rsidRDefault="00C103B1" w:rsidP="0038462B">
      <w:pPr>
        <w:pStyle w:val="ListParagraph"/>
        <w:numPr>
          <w:ilvl w:val="0"/>
          <w:numId w:val="9"/>
        </w:numPr>
      </w:pPr>
      <w:r w:rsidRPr="0038462B">
        <w:t xml:space="preserve">Centers for Disease Control and Prevention (2016). Understanding Health Literacy. Retrieved from: </w:t>
      </w:r>
      <w:hyperlink r:id="rId8" w:history="1">
        <w:r w:rsidRPr="0038462B">
          <w:rPr>
            <w:rStyle w:val="Hyperlink"/>
          </w:rPr>
          <w:t>URL to source</w:t>
        </w:r>
      </w:hyperlink>
    </w:p>
    <w:p w14:paraId="13E096A7" w14:textId="77777777" w:rsidR="008C05E7" w:rsidRPr="0038462B" w:rsidRDefault="00C103B1" w:rsidP="0038462B">
      <w:pPr>
        <w:pStyle w:val="ListParagraph"/>
        <w:numPr>
          <w:ilvl w:val="0"/>
          <w:numId w:val="9"/>
        </w:numPr>
      </w:pPr>
      <w:r w:rsidRPr="0038462B">
        <w:t>Indian Health Service (</w:t>
      </w:r>
      <w:proofErr w:type="spellStart"/>
      <w:r w:rsidRPr="0038462B">
        <w:t>n.d.</w:t>
      </w:r>
      <w:proofErr w:type="spellEnd"/>
      <w:r w:rsidRPr="0038462B">
        <w:t xml:space="preserve">). Healthcare Communications. Retrieved from: </w:t>
      </w:r>
      <w:hyperlink r:id="rId9" w:history="1">
        <w:r w:rsidRPr="0038462B">
          <w:rPr>
            <w:rStyle w:val="Hyperlink"/>
          </w:rPr>
          <w:t>URL to Source</w:t>
        </w:r>
      </w:hyperlink>
    </w:p>
    <w:p w14:paraId="2A002F87" w14:textId="77777777" w:rsidR="008C05E7" w:rsidRPr="0038462B" w:rsidRDefault="00C103B1" w:rsidP="0038462B">
      <w:pPr>
        <w:pStyle w:val="ListParagraph"/>
        <w:numPr>
          <w:ilvl w:val="0"/>
          <w:numId w:val="9"/>
        </w:numPr>
      </w:pPr>
      <w:r w:rsidRPr="0038462B">
        <w:t xml:space="preserve">National Academies of Sciences, Engineering, and Medicine (2016). Integrating health literacy, cultural competence, and language access services: Workshop summary. Washington, DC: The National Academies Press. </w:t>
      </w:r>
      <w:proofErr w:type="gramStart"/>
      <w:r w:rsidRPr="0038462B">
        <w:t>doi:</w:t>
      </w:r>
      <w:proofErr w:type="gramEnd"/>
      <w:r w:rsidRPr="0038462B">
        <w:t>10.17226/23498.</w:t>
      </w:r>
    </w:p>
    <w:p w14:paraId="642C23FC" w14:textId="77777777" w:rsidR="008C05E7" w:rsidRPr="0038462B" w:rsidRDefault="00C103B1" w:rsidP="0038462B">
      <w:pPr>
        <w:pStyle w:val="ListParagraph"/>
        <w:numPr>
          <w:ilvl w:val="0"/>
          <w:numId w:val="9"/>
        </w:numPr>
      </w:pPr>
      <w:r w:rsidRPr="0038462B">
        <w:t xml:space="preserve">Office of the Legislative Council (2010). Compilation of the Patient Protection and Affordable Care Act. Retrieved from </w:t>
      </w:r>
      <w:hyperlink r:id="rId10" w:history="1">
        <w:r w:rsidRPr="0038462B">
          <w:rPr>
            <w:rStyle w:val="Hyperlink"/>
          </w:rPr>
          <w:t xml:space="preserve">URL to </w:t>
        </w:r>
      </w:hyperlink>
      <w:hyperlink r:id="rId11" w:history="1">
        <w:r w:rsidRPr="0038462B">
          <w:rPr>
            <w:rStyle w:val="Hyperlink"/>
          </w:rPr>
          <w:t>source</w:t>
        </w:r>
      </w:hyperlink>
    </w:p>
    <w:p w14:paraId="0C6D6180" w14:textId="77777777" w:rsidR="008C05E7" w:rsidRPr="0038462B" w:rsidRDefault="00C103B1" w:rsidP="0038462B">
      <w:pPr>
        <w:pStyle w:val="ListParagraph"/>
        <w:numPr>
          <w:ilvl w:val="0"/>
          <w:numId w:val="9"/>
        </w:numPr>
      </w:pPr>
      <w:r w:rsidRPr="0038462B">
        <w:t xml:space="preserve">Plain Language Action and Information Network (2017). Plain Language Guidelines. Retrieved from: </w:t>
      </w:r>
      <w:hyperlink r:id="rId12" w:history="1">
        <w:r w:rsidRPr="0038462B">
          <w:rPr>
            <w:rStyle w:val="Hyperlink"/>
          </w:rPr>
          <w:t>URL to Source</w:t>
        </w:r>
      </w:hyperlink>
    </w:p>
    <w:p w14:paraId="5B423501" w14:textId="77777777" w:rsidR="008C05E7" w:rsidRPr="0038462B" w:rsidRDefault="00C103B1" w:rsidP="0038462B">
      <w:pPr>
        <w:pStyle w:val="ListParagraph"/>
        <w:numPr>
          <w:ilvl w:val="0"/>
          <w:numId w:val="9"/>
        </w:numPr>
      </w:pPr>
      <w:r w:rsidRPr="0038462B">
        <w:t xml:space="preserve">University of North Carolina Chapel Hill (2014). Health Literacy Data Map. Retrieved from: </w:t>
      </w:r>
      <w:hyperlink r:id="rId13" w:history="1">
        <w:r w:rsidRPr="0038462B">
          <w:rPr>
            <w:rStyle w:val="Hyperlink"/>
          </w:rPr>
          <w:t>URL to Source</w:t>
        </w:r>
      </w:hyperlink>
    </w:p>
    <w:p w14:paraId="15F84879" w14:textId="77777777" w:rsidR="008C05E7" w:rsidRPr="0038462B" w:rsidRDefault="00C103B1" w:rsidP="0038462B">
      <w:pPr>
        <w:pStyle w:val="ListParagraph"/>
        <w:numPr>
          <w:ilvl w:val="0"/>
          <w:numId w:val="9"/>
        </w:numPr>
      </w:pPr>
      <w:r w:rsidRPr="0038462B">
        <w:t xml:space="preserve">U.S. Department of Education (2006). The Health Literacy of America’s Adults: Results from the 2003 National Assessment of Adult Literacy. Retrieved from: </w:t>
      </w:r>
      <w:hyperlink r:id="rId14" w:history="1">
        <w:r w:rsidRPr="0038462B">
          <w:rPr>
            <w:rStyle w:val="Hyperlink"/>
          </w:rPr>
          <w:t xml:space="preserve">URL to </w:t>
        </w:r>
      </w:hyperlink>
      <w:hyperlink r:id="rId15" w:history="1">
        <w:r w:rsidRPr="0038462B">
          <w:rPr>
            <w:rStyle w:val="Hyperlink"/>
          </w:rPr>
          <w:t>Source</w:t>
        </w:r>
      </w:hyperlink>
    </w:p>
    <w:p w14:paraId="71010D04" w14:textId="77777777" w:rsidR="008C05E7" w:rsidRPr="0038462B" w:rsidRDefault="00C103B1" w:rsidP="0038462B">
      <w:pPr>
        <w:pStyle w:val="ListParagraph"/>
        <w:numPr>
          <w:ilvl w:val="0"/>
          <w:numId w:val="9"/>
        </w:numPr>
      </w:pPr>
      <w:r w:rsidRPr="0038462B">
        <w:t xml:space="preserve">U.S. Department of Health and Human Services, Office of Disease Prevention and Health Promotion. (2010). National Action Plan to Improve Health Literacy. Washington, </w:t>
      </w:r>
      <w:proofErr w:type="gramStart"/>
      <w:r w:rsidRPr="0038462B">
        <w:t>DC.:</w:t>
      </w:r>
      <w:proofErr w:type="gramEnd"/>
      <w:r w:rsidRPr="0038462B">
        <w:t xml:space="preserve"> Author. Retrieved from </w:t>
      </w:r>
      <w:hyperlink r:id="rId16" w:history="1">
        <w:r w:rsidRPr="0038462B">
          <w:rPr>
            <w:rStyle w:val="Hyperlink"/>
          </w:rPr>
          <w:t>URL to source</w:t>
        </w:r>
      </w:hyperlink>
    </w:p>
    <w:p w14:paraId="66767DB1" w14:textId="77777777" w:rsidR="009E33E0" w:rsidRPr="00853D70" w:rsidRDefault="009E33E0" w:rsidP="009E33E0">
      <w:pPr>
        <w:pStyle w:val="ListParagraph"/>
      </w:pPr>
    </w:p>
    <w:p w14:paraId="0ED8ABA4" w14:textId="77777777" w:rsidR="00CA0506" w:rsidRDefault="00CA0506" w:rsidP="001A4350">
      <w:pPr>
        <w:pStyle w:val="ListParagraph"/>
      </w:pPr>
      <w:bookmarkStart w:id="0" w:name="_GoBack"/>
      <w:bookmarkEnd w:id="0"/>
    </w:p>
    <w:sectPr w:rsidR="00CA0506" w:rsidSect="006E5A5E">
      <w:footerReference w:type="default" r:id="rId17"/>
      <w:head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9B673" w14:textId="77777777" w:rsidR="00FD452D" w:rsidRDefault="00FD452D" w:rsidP="00CA0506">
      <w:pPr>
        <w:spacing w:after="0" w:line="240" w:lineRule="auto"/>
      </w:pPr>
      <w:r>
        <w:separator/>
      </w:r>
    </w:p>
  </w:endnote>
  <w:endnote w:type="continuationSeparator" w:id="0">
    <w:p w14:paraId="77629B77" w14:textId="77777777" w:rsidR="00FD452D" w:rsidRDefault="00FD452D"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AF31" w14:textId="1C0F8AA9" w:rsidR="007F4C31" w:rsidRPr="007F4C31" w:rsidRDefault="007F4C31" w:rsidP="007F4C31">
    <w:pPr>
      <w:spacing w:after="0" w:line="240" w:lineRule="auto"/>
      <w:jc w:val="center"/>
      <w:rPr>
        <w:rFonts w:ascii="Times New Roman" w:eastAsia="Times New Roman" w:hAnsi="Times New Roman" w:cs="Times New Roman"/>
        <w:sz w:val="20"/>
        <w:szCs w:val="24"/>
      </w:rPr>
    </w:pPr>
    <w:r w:rsidRPr="007F4C31">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F41EA" w14:textId="77777777" w:rsidR="00FD452D" w:rsidRDefault="00FD452D" w:rsidP="00CA0506">
      <w:pPr>
        <w:spacing w:after="0" w:line="240" w:lineRule="auto"/>
      </w:pPr>
      <w:r>
        <w:separator/>
      </w:r>
    </w:p>
  </w:footnote>
  <w:footnote w:type="continuationSeparator" w:id="0">
    <w:p w14:paraId="6EEFAD16" w14:textId="77777777" w:rsidR="00FD452D" w:rsidRDefault="00FD452D"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E51" w14:textId="2710CD03" w:rsidR="006E5A5E" w:rsidRPr="006E5A5E" w:rsidRDefault="006E5A5E" w:rsidP="006E5A5E">
    <w:pPr>
      <w:pStyle w:val="Header"/>
      <w:jc w:val="center"/>
      <w:rPr>
        <w:rStyle w:val="SubtleEmphasis"/>
        <w:b/>
        <w:i w:val="0"/>
        <w:color w:val="2E74B5" w:themeColor="accent5" w:themeShade="BF"/>
        <w:sz w:val="60"/>
        <w:szCs w:val="60"/>
      </w:rPr>
    </w:pPr>
    <w:r>
      <w:rPr>
        <w:rStyle w:val="SubtleEmphasis"/>
        <w:b/>
        <w:i w:val="0"/>
        <w:color w:val="2E74B5" w:themeColor="accent5" w:themeShade="BF"/>
        <w:sz w:val="60"/>
        <w:szCs w:val="60"/>
      </w:rPr>
      <w:t>Health Literacy Module 2</w:t>
    </w:r>
    <w:r w:rsidRPr="006E5A5E">
      <w:rPr>
        <w:rStyle w:val="SubtleEmphasis"/>
        <w:b/>
        <w:i w:val="0"/>
        <w:color w:val="2E74B5" w:themeColor="accent5" w:themeShade="BF"/>
        <w:sz w:val="60"/>
        <w:szCs w:val="60"/>
      </w:rPr>
      <w:t xml:space="preserve"> Key Concepts Handout</w:t>
    </w:r>
  </w:p>
  <w:p w14:paraId="70C30F47" w14:textId="77777777" w:rsidR="006E5A5E" w:rsidRDefault="006E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2"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3"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AB2E51"/>
    <w:multiLevelType w:val="hybridMultilevel"/>
    <w:tmpl w:val="239A4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A3863"/>
    <w:multiLevelType w:val="hybridMultilevel"/>
    <w:tmpl w:val="F4563AD6"/>
    <w:lvl w:ilvl="0" w:tplc="AD84329A">
      <w:start w:val="1"/>
      <w:numFmt w:val="decimal"/>
      <w:lvlText w:val="%1."/>
      <w:lvlJc w:val="left"/>
      <w:pPr>
        <w:tabs>
          <w:tab w:val="num" w:pos="720"/>
        </w:tabs>
        <w:ind w:left="720" w:hanging="360"/>
      </w:pPr>
    </w:lvl>
    <w:lvl w:ilvl="1" w:tplc="CBC6F1AC" w:tentative="1">
      <w:start w:val="1"/>
      <w:numFmt w:val="decimal"/>
      <w:lvlText w:val="%2."/>
      <w:lvlJc w:val="left"/>
      <w:pPr>
        <w:tabs>
          <w:tab w:val="num" w:pos="1440"/>
        </w:tabs>
        <w:ind w:left="1440" w:hanging="360"/>
      </w:pPr>
    </w:lvl>
    <w:lvl w:ilvl="2" w:tplc="F0F0F20C" w:tentative="1">
      <w:start w:val="1"/>
      <w:numFmt w:val="decimal"/>
      <w:lvlText w:val="%3."/>
      <w:lvlJc w:val="left"/>
      <w:pPr>
        <w:tabs>
          <w:tab w:val="num" w:pos="2160"/>
        </w:tabs>
        <w:ind w:left="2160" w:hanging="360"/>
      </w:pPr>
    </w:lvl>
    <w:lvl w:ilvl="3" w:tplc="65422896" w:tentative="1">
      <w:start w:val="1"/>
      <w:numFmt w:val="decimal"/>
      <w:lvlText w:val="%4."/>
      <w:lvlJc w:val="left"/>
      <w:pPr>
        <w:tabs>
          <w:tab w:val="num" w:pos="2880"/>
        </w:tabs>
        <w:ind w:left="2880" w:hanging="360"/>
      </w:pPr>
    </w:lvl>
    <w:lvl w:ilvl="4" w:tplc="6BFE7384" w:tentative="1">
      <w:start w:val="1"/>
      <w:numFmt w:val="decimal"/>
      <w:lvlText w:val="%5."/>
      <w:lvlJc w:val="left"/>
      <w:pPr>
        <w:tabs>
          <w:tab w:val="num" w:pos="3600"/>
        </w:tabs>
        <w:ind w:left="3600" w:hanging="360"/>
      </w:pPr>
    </w:lvl>
    <w:lvl w:ilvl="5" w:tplc="1DCC9AF6" w:tentative="1">
      <w:start w:val="1"/>
      <w:numFmt w:val="decimal"/>
      <w:lvlText w:val="%6."/>
      <w:lvlJc w:val="left"/>
      <w:pPr>
        <w:tabs>
          <w:tab w:val="num" w:pos="4320"/>
        </w:tabs>
        <w:ind w:left="4320" w:hanging="360"/>
      </w:pPr>
    </w:lvl>
    <w:lvl w:ilvl="6" w:tplc="3EDA87FE" w:tentative="1">
      <w:start w:val="1"/>
      <w:numFmt w:val="decimal"/>
      <w:lvlText w:val="%7."/>
      <w:lvlJc w:val="left"/>
      <w:pPr>
        <w:tabs>
          <w:tab w:val="num" w:pos="5040"/>
        </w:tabs>
        <w:ind w:left="5040" w:hanging="360"/>
      </w:pPr>
    </w:lvl>
    <w:lvl w:ilvl="7" w:tplc="7CDA1AE6" w:tentative="1">
      <w:start w:val="1"/>
      <w:numFmt w:val="decimal"/>
      <w:lvlText w:val="%8."/>
      <w:lvlJc w:val="left"/>
      <w:pPr>
        <w:tabs>
          <w:tab w:val="num" w:pos="5760"/>
        </w:tabs>
        <w:ind w:left="5760" w:hanging="360"/>
      </w:pPr>
    </w:lvl>
    <w:lvl w:ilvl="8" w:tplc="36860C5C" w:tentative="1">
      <w:start w:val="1"/>
      <w:numFmt w:val="decimal"/>
      <w:lvlText w:val="%9."/>
      <w:lvlJc w:val="left"/>
      <w:pPr>
        <w:tabs>
          <w:tab w:val="num" w:pos="6480"/>
        </w:tabs>
        <w:ind w:left="6480" w:hanging="360"/>
      </w:pPr>
    </w:lvl>
  </w:abstractNum>
  <w:abstractNum w:abstractNumId="7"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60825"/>
    <w:multiLevelType w:val="hybridMultilevel"/>
    <w:tmpl w:val="6450CA32"/>
    <w:lvl w:ilvl="0" w:tplc="9DDEDBC8">
      <w:start w:val="1"/>
      <w:numFmt w:val="bullet"/>
      <w:lvlText w:val="•"/>
      <w:lvlJc w:val="left"/>
      <w:pPr>
        <w:tabs>
          <w:tab w:val="num" w:pos="720"/>
        </w:tabs>
        <w:ind w:left="720" w:hanging="360"/>
      </w:pPr>
      <w:rPr>
        <w:rFonts w:ascii="Arial" w:hAnsi="Arial" w:hint="default"/>
      </w:rPr>
    </w:lvl>
    <w:lvl w:ilvl="1" w:tplc="201882CE" w:tentative="1">
      <w:start w:val="1"/>
      <w:numFmt w:val="bullet"/>
      <w:lvlText w:val="•"/>
      <w:lvlJc w:val="left"/>
      <w:pPr>
        <w:tabs>
          <w:tab w:val="num" w:pos="1440"/>
        </w:tabs>
        <w:ind w:left="1440" w:hanging="360"/>
      </w:pPr>
      <w:rPr>
        <w:rFonts w:ascii="Arial" w:hAnsi="Arial" w:hint="default"/>
      </w:rPr>
    </w:lvl>
    <w:lvl w:ilvl="2" w:tplc="79F04C72" w:tentative="1">
      <w:start w:val="1"/>
      <w:numFmt w:val="bullet"/>
      <w:lvlText w:val="•"/>
      <w:lvlJc w:val="left"/>
      <w:pPr>
        <w:tabs>
          <w:tab w:val="num" w:pos="2160"/>
        </w:tabs>
        <w:ind w:left="2160" w:hanging="360"/>
      </w:pPr>
      <w:rPr>
        <w:rFonts w:ascii="Arial" w:hAnsi="Arial" w:hint="default"/>
      </w:rPr>
    </w:lvl>
    <w:lvl w:ilvl="3" w:tplc="0712819E" w:tentative="1">
      <w:start w:val="1"/>
      <w:numFmt w:val="bullet"/>
      <w:lvlText w:val="•"/>
      <w:lvlJc w:val="left"/>
      <w:pPr>
        <w:tabs>
          <w:tab w:val="num" w:pos="2880"/>
        </w:tabs>
        <w:ind w:left="2880" w:hanging="360"/>
      </w:pPr>
      <w:rPr>
        <w:rFonts w:ascii="Arial" w:hAnsi="Arial" w:hint="default"/>
      </w:rPr>
    </w:lvl>
    <w:lvl w:ilvl="4" w:tplc="2A3CBD22" w:tentative="1">
      <w:start w:val="1"/>
      <w:numFmt w:val="bullet"/>
      <w:lvlText w:val="•"/>
      <w:lvlJc w:val="left"/>
      <w:pPr>
        <w:tabs>
          <w:tab w:val="num" w:pos="3600"/>
        </w:tabs>
        <w:ind w:left="3600" w:hanging="360"/>
      </w:pPr>
      <w:rPr>
        <w:rFonts w:ascii="Arial" w:hAnsi="Arial" w:hint="default"/>
      </w:rPr>
    </w:lvl>
    <w:lvl w:ilvl="5" w:tplc="6BA871F6" w:tentative="1">
      <w:start w:val="1"/>
      <w:numFmt w:val="bullet"/>
      <w:lvlText w:val="•"/>
      <w:lvlJc w:val="left"/>
      <w:pPr>
        <w:tabs>
          <w:tab w:val="num" w:pos="4320"/>
        </w:tabs>
        <w:ind w:left="4320" w:hanging="360"/>
      </w:pPr>
      <w:rPr>
        <w:rFonts w:ascii="Arial" w:hAnsi="Arial" w:hint="default"/>
      </w:rPr>
    </w:lvl>
    <w:lvl w:ilvl="6" w:tplc="69EE258C" w:tentative="1">
      <w:start w:val="1"/>
      <w:numFmt w:val="bullet"/>
      <w:lvlText w:val="•"/>
      <w:lvlJc w:val="left"/>
      <w:pPr>
        <w:tabs>
          <w:tab w:val="num" w:pos="5040"/>
        </w:tabs>
        <w:ind w:left="5040" w:hanging="360"/>
      </w:pPr>
      <w:rPr>
        <w:rFonts w:ascii="Arial" w:hAnsi="Arial" w:hint="default"/>
      </w:rPr>
    </w:lvl>
    <w:lvl w:ilvl="7" w:tplc="ED78B91E" w:tentative="1">
      <w:start w:val="1"/>
      <w:numFmt w:val="bullet"/>
      <w:lvlText w:val="•"/>
      <w:lvlJc w:val="left"/>
      <w:pPr>
        <w:tabs>
          <w:tab w:val="num" w:pos="5760"/>
        </w:tabs>
        <w:ind w:left="5760" w:hanging="360"/>
      </w:pPr>
      <w:rPr>
        <w:rFonts w:ascii="Arial" w:hAnsi="Arial" w:hint="default"/>
      </w:rPr>
    </w:lvl>
    <w:lvl w:ilvl="8" w:tplc="243C74C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3"/>
  </w:num>
  <w:num w:numId="4">
    <w:abstractNumId w:val="1"/>
  </w:num>
  <w:num w:numId="5">
    <w:abstractNumId w:val="0"/>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73112"/>
    <w:rsid w:val="00137A44"/>
    <w:rsid w:val="00184881"/>
    <w:rsid w:val="001A4350"/>
    <w:rsid w:val="001C041E"/>
    <w:rsid w:val="001F081A"/>
    <w:rsid w:val="00343B50"/>
    <w:rsid w:val="0038462B"/>
    <w:rsid w:val="003A74BA"/>
    <w:rsid w:val="00497577"/>
    <w:rsid w:val="006E5A5E"/>
    <w:rsid w:val="007A781E"/>
    <w:rsid w:val="007F4765"/>
    <w:rsid w:val="007F4C31"/>
    <w:rsid w:val="008049A3"/>
    <w:rsid w:val="00853D70"/>
    <w:rsid w:val="008C05E7"/>
    <w:rsid w:val="008E0FFC"/>
    <w:rsid w:val="009E33E0"/>
    <w:rsid w:val="00A23490"/>
    <w:rsid w:val="00A2502A"/>
    <w:rsid w:val="00A90914"/>
    <w:rsid w:val="00AA7845"/>
    <w:rsid w:val="00AC0812"/>
    <w:rsid w:val="00AD14FA"/>
    <w:rsid w:val="00AD1DE1"/>
    <w:rsid w:val="00AF55DA"/>
    <w:rsid w:val="00B13651"/>
    <w:rsid w:val="00C103B1"/>
    <w:rsid w:val="00CA0506"/>
    <w:rsid w:val="00D542C9"/>
    <w:rsid w:val="00DF0FE7"/>
    <w:rsid w:val="00E36595"/>
    <w:rsid w:val="00E40A99"/>
    <w:rsid w:val="00E53F9C"/>
    <w:rsid w:val="00E71116"/>
    <w:rsid w:val="00E84856"/>
    <w:rsid w:val="00FD057F"/>
    <w:rsid w:val="00FD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6E5A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1654024847">
      <w:bodyDiv w:val="1"/>
      <w:marLeft w:val="0"/>
      <w:marRight w:val="0"/>
      <w:marTop w:val="0"/>
      <w:marBottom w:val="0"/>
      <w:divBdr>
        <w:top w:val="none" w:sz="0" w:space="0" w:color="auto"/>
        <w:left w:val="none" w:sz="0" w:space="0" w:color="auto"/>
        <w:bottom w:val="none" w:sz="0" w:space="0" w:color="auto"/>
        <w:right w:val="none" w:sz="0" w:space="0" w:color="auto"/>
      </w:divBdr>
      <w:divsChild>
        <w:div w:id="978845979">
          <w:marLeft w:val="360"/>
          <w:marRight w:val="0"/>
          <w:marTop w:val="200"/>
          <w:marBottom w:val="0"/>
          <w:divBdr>
            <w:top w:val="none" w:sz="0" w:space="0" w:color="auto"/>
            <w:left w:val="none" w:sz="0" w:space="0" w:color="auto"/>
            <w:bottom w:val="none" w:sz="0" w:space="0" w:color="auto"/>
            <w:right w:val="none" w:sz="0" w:space="0" w:color="auto"/>
          </w:divBdr>
        </w:div>
        <w:div w:id="507865028">
          <w:marLeft w:val="360"/>
          <w:marRight w:val="0"/>
          <w:marTop w:val="200"/>
          <w:marBottom w:val="0"/>
          <w:divBdr>
            <w:top w:val="none" w:sz="0" w:space="0" w:color="auto"/>
            <w:left w:val="none" w:sz="0" w:space="0" w:color="auto"/>
            <w:bottom w:val="none" w:sz="0" w:space="0" w:color="auto"/>
            <w:right w:val="none" w:sz="0" w:space="0" w:color="auto"/>
          </w:divBdr>
        </w:div>
        <w:div w:id="1335910713">
          <w:marLeft w:val="360"/>
          <w:marRight w:val="0"/>
          <w:marTop w:val="200"/>
          <w:marBottom w:val="0"/>
          <w:divBdr>
            <w:top w:val="none" w:sz="0" w:space="0" w:color="auto"/>
            <w:left w:val="none" w:sz="0" w:space="0" w:color="auto"/>
            <w:bottom w:val="none" w:sz="0" w:space="0" w:color="auto"/>
            <w:right w:val="none" w:sz="0" w:space="0" w:color="auto"/>
          </w:divBdr>
        </w:div>
      </w:divsChild>
    </w:div>
    <w:div w:id="1685476987">
      <w:bodyDiv w:val="1"/>
      <w:marLeft w:val="0"/>
      <w:marRight w:val="0"/>
      <w:marTop w:val="0"/>
      <w:marBottom w:val="0"/>
      <w:divBdr>
        <w:top w:val="none" w:sz="0" w:space="0" w:color="auto"/>
        <w:left w:val="none" w:sz="0" w:space="0" w:color="auto"/>
        <w:bottom w:val="none" w:sz="0" w:space="0" w:color="auto"/>
        <w:right w:val="none" w:sz="0" w:space="0" w:color="auto"/>
      </w:divBdr>
      <w:divsChild>
        <w:div w:id="1334799850">
          <w:marLeft w:val="806"/>
          <w:marRight w:val="0"/>
          <w:marTop w:val="200"/>
          <w:marBottom w:val="0"/>
          <w:divBdr>
            <w:top w:val="none" w:sz="0" w:space="0" w:color="auto"/>
            <w:left w:val="none" w:sz="0" w:space="0" w:color="auto"/>
            <w:bottom w:val="none" w:sz="0" w:space="0" w:color="auto"/>
            <w:right w:val="none" w:sz="0" w:space="0" w:color="auto"/>
          </w:divBdr>
        </w:div>
        <w:div w:id="688336034">
          <w:marLeft w:val="806"/>
          <w:marRight w:val="0"/>
          <w:marTop w:val="200"/>
          <w:marBottom w:val="0"/>
          <w:divBdr>
            <w:top w:val="none" w:sz="0" w:space="0" w:color="auto"/>
            <w:left w:val="none" w:sz="0" w:space="0" w:color="auto"/>
            <w:bottom w:val="none" w:sz="0" w:space="0" w:color="auto"/>
            <w:right w:val="none" w:sz="0" w:space="0" w:color="auto"/>
          </w:divBdr>
        </w:div>
        <w:div w:id="1508518646">
          <w:marLeft w:val="806"/>
          <w:marRight w:val="0"/>
          <w:marTop w:val="200"/>
          <w:marBottom w:val="0"/>
          <w:divBdr>
            <w:top w:val="none" w:sz="0" w:space="0" w:color="auto"/>
            <w:left w:val="none" w:sz="0" w:space="0" w:color="auto"/>
            <w:bottom w:val="none" w:sz="0" w:space="0" w:color="auto"/>
            <w:right w:val="none" w:sz="0" w:space="0" w:color="auto"/>
          </w:divBdr>
        </w:div>
        <w:div w:id="1319963710">
          <w:marLeft w:val="806"/>
          <w:marRight w:val="0"/>
          <w:marTop w:val="200"/>
          <w:marBottom w:val="0"/>
          <w:divBdr>
            <w:top w:val="none" w:sz="0" w:space="0" w:color="auto"/>
            <w:left w:val="none" w:sz="0" w:space="0" w:color="auto"/>
            <w:bottom w:val="none" w:sz="0" w:space="0" w:color="auto"/>
            <w:right w:val="none" w:sz="0" w:space="0" w:color="auto"/>
          </w:divBdr>
        </w:div>
        <w:div w:id="144049927">
          <w:marLeft w:val="806"/>
          <w:marRight w:val="0"/>
          <w:marTop w:val="200"/>
          <w:marBottom w:val="0"/>
          <w:divBdr>
            <w:top w:val="none" w:sz="0" w:space="0" w:color="auto"/>
            <w:left w:val="none" w:sz="0" w:space="0" w:color="auto"/>
            <w:bottom w:val="none" w:sz="0" w:space="0" w:color="auto"/>
            <w:right w:val="none" w:sz="0" w:space="0" w:color="auto"/>
          </w:divBdr>
        </w:div>
        <w:div w:id="1139229361">
          <w:marLeft w:val="806"/>
          <w:marRight w:val="0"/>
          <w:marTop w:val="200"/>
          <w:marBottom w:val="0"/>
          <w:divBdr>
            <w:top w:val="none" w:sz="0" w:space="0" w:color="auto"/>
            <w:left w:val="none" w:sz="0" w:space="0" w:color="auto"/>
            <w:bottom w:val="none" w:sz="0" w:space="0" w:color="auto"/>
            <w:right w:val="none" w:sz="0" w:space="0" w:color="auto"/>
          </w:divBdr>
        </w:div>
        <w:div w:id="803045178">
          <w:marLeft w:val="806"/>
          <w:marRight w:val="0"/>
          <w:marTop w:val="200"/>
          <w:marBottom w:val="0"/>
          <w:divBdr>
            <w:top w:val="none" w:sz="0" w:space="0" w:color="auto"/>
            <w:left w:val="none" w:sz="0" w:space="0" w:color="auto"/>
            <w:bottom w:val="none" w:sz="0" w:space="0" w:color="auto"/>
            <w:right w:val="none" w:sz="0" w:space="0" w:color="auto"/>
          </w:divBdr>
        </w:div>
        <w:div w:id="1199782284">
          <w:marLeft w:val="806"/>
          <w:marRight w:val="0"/>
          <w:marTop w:val="200"/>
          <w:marBottom w:val="0"/>
          <w:divBdr>
            <w:top w:val="none" w:sz="0" w:space="0" w:color="auto"/>
            <w:left w:val="none" w:sz="0" w:space="0" w:color="auto"/>
            <w:bottom w:val="none" w:sz="0" w:space="0" w:color="auto"/>
            <w:right w:val="none" w:sz="0" w:space="0" w:color="auto"/>
          </w:divBdr>
        </w:div>
        <w:div w:id="456338324">
          <w:marLeft w:val="806"/>
          <w:marRight w:val="0"/>
          <w:marTop w:val="200"/>
          <w:marBottom w:val="0"/>
          <w:divBdr>
            <w:top w:val="none" w:sz="0" w:space="0" w:color="auto"/>
            <w:left w:val="none" w:sz="0" w:space="0" w:color="auto"/>
            <w:bottom w:val="none" w:sz="0" w:space="0" w:color="auto"/>
            <w:right w:val="none" w:sz="0" w:space="0" w:color="auto"/>
          </w:divBdr>
        </w:div>
      </w:divsChild>
    </w:div>
    <w:div w:id="1685669290">
      <w:bodyDiv w:val="1"/>
      <w:marLeft w:val="0"/>
      <w:marRight w:val="0"/>
      <w:marTop w:val="0"/>
      <w:marBottom w:val="0"/>
      <w:divBdr>
        <w:top w:val="none" w:sz="0" w:space="0" w:color="auto"/>
        <w:left w:val="none" w:sz="0" w:space="0" w:color="auto"/>
        <w:bottom w:val="none" w:sz="0" w:space="0" w:color="auto"/>
        <w:right w:val="none" w:sz="0" w:space="0" w:color="auto"/>
      </w:divBdr>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lthliteracy/learn/Understanding.html" TargetMode="External"/><Relationship Id="rId13" Type="http://schemas.openxmlformats.org/officeDocument/2006/relationships/hyperlink" Target="http://healthliteracymap.unc.ed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lainlanguage.gov/guidelin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ealth.gov/communication/hlactionplan/pdf/Health_Literacy_Action_Pla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usedocs.house.gov/energycommerce/ppacacon.pdf" TargetMode="External"/><Relationship Id="rId5" Type="http://schemas.openxmlformats.org/officeDocument/2006/relationships/footnotes" Target="footnotes.xml"/><Relationship Id="rId15" Type="http://schemas.openxmlformats.org/officeDocument/2006/relationships/hyperlink" Target="https://nces.ed.gov/pubsearch/pubsinfo.asp?pubid=2006483" TargetMode="External"/><Relationship Id="rId10" Type="http://schemas.openxmlformats.org/officeDocument/2006/relationships/hyperlink" Target="http://housedocs.house.gov/energycommerce/ppacaco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hs.gov/healthcommunications/" TargetMode="External"/><Relationship Id="rId14" Type="http://schemas.openxmlformats.org/officeDocument/2006/relationships/hyperlink" Target="https://nces.ed.gov/pubsearch/pubsinfo.asp?pubid=2006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11</cp:revision>
  <dcterms:created xsi:type="dcterms:W3CDTF">2019-08-21T20:10:00Z</dcterms:created>
  <dcterms:modified xsi:type="dcterms:W3CDTF">2019-11-21T19:28:00Z</dcterms:modified>
</cp:coreProperties>
</file>